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598F" w14:textId="78B0EF8C" w:rsidR="00875639" w:rsidRDefault="00EF293E" w:rsidP="00C07D21">
      <w:pPr>
        <w:spacing w:after="0" w:line="240" w:lineRule="auto"/>
      </w:pPr>
      <w:r>
        <w:t>September 5</w:t>
      </w:r>
      <w:r w:rsidR="001864B1">
        <w:t>, 2017</w:t>
      </w:r>
    </w:p>
    <w:p w14:paraId="0B4AB6B8" w14:textId="77777777" w:rsidR="00EB4F4B" w:rsidRPr="00934239" w:rsidRDefault="00EB4F4B" w:rsidP="00C07D21">
      <w:pPr>
        <w:spacing w:after="0" w:line="240" w:lineRule="auto"/>
      </w:pPr>
    </w:p>
    <w:p w14:paraId="4C50564F" w14:textId="77777777" w:rsidR="000C1399" w:rsidRDefault="00316CB2" w:rsidP="00316CB2">
      <w:pPr>
        <w:spacing w:after="0" w:line="240" w:lineRule="auto"/>
      </w:pPr>
      <w:r>
        <w:t>Technical Director</w:t>
      </w:r>
    </w:p>
    <w:p w14:paraId="410BE7A5" w14:textId="77777777" w:rsidR="000C1399" w:rsidRDefault="00316CB2" w:rsidP="00316CB2">
      <w:pPr>
        <w:spacing w:after="0" w:line="240" w:lineRule="auto"/>
      </w:pPr>
      <w:r>
        <w:t>Financial Accounting Standards Board</w:t>
      </w:r>
    </w:p>
    <w:p w14:paraId="00C281B5" w14:textId="77777777" w:rsidR="00316CB2" w:rsidRDefault="00316CB2" w:rsidP="00316CB2">
      <w:pPr>
        <w:spacing w:after="0" w:line="240" w:lineRule="auto"/>
      </w:pPr>
      <w:r>
        <w:t>401 Merritt 7, P.O. Box 5116</w:t>
      </w:r>
    </w:p>
    <w:p w14:paraId="40F6AB49" w14:textId="77777777" w:rsidR="00316CB2" w:rsidRDefault="00316CB2" w:rsidP="00316CB2">
      <w:pPr>
        <w:spacing w:after="0" w:line="240" w:lineRule="auto"/>
      </w:pPr>
      <w:r>
        <w:t>Norwalk, CT 06856-5116</w:t>
      </w:r>
    </w:p>
    <w:p w14:paraId="5215E1A4" w14:textId="77777777" w:rsidR="00316CB2" w:rsidRDefault="00316CB2" w:rsidP="00316CB2">
      <w:pPr>
        <w:spacing w:after="0" w:line="240" w:lineRule="auto"/>
      </w:pPr>
    </w:p>
    <w:p w14:paraId="2C7E38E1" w14:textId="2123C877" w:rsidR="00316CB2" w:rsidRDefault="001864B1" w:rsidP="00316CB2">
      <w:pPr>
        <w:spacing w:after="0" w:line="240" w:lineRule="auto"/>
      </w:pPr>
      <w:r>
        <w:t>File Reference No. 2017-</w:t>
      </w:r>
      <w:r w:rsidR="003E6D96">
        <w:t>240</w:t>
      </w:r>
      <w:bookmarkStart w:id="0" w:name="_GoBack"/>
      <w:bookmarkEnd w:id="0"/>
    </w:p>
    <w:p w14:paraId="0158E396" w14:textId="77777777" w:rsidR="008F1D9E" w:rsidRDefault="008F1D9E" w:rsidP="00316CB2">
      <w:pPr>
        <w:spacing w:after="0" w:line="240" w:lineRule="auto"/>
      </w:pPr>
    </w:p>
    <w:p w14:paraId="4A1FAEC9" w14:textId="77777777"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704973">
        <w:rPr>
          <w:rFonts w:cstheme="minorBidi"/>
          <w:i/>
        </w:rPr>
        <w:t>Targeted Improvements to Related Party Guidance for Variable Interest Entities</w:t>
      </w:r>
      <w:r w:rsidR="007F305D">
        <w:rPr>
          <w:rFonts w:cstheme="minorBidi"/>
          <w:i/>
        </w:rPr>
        <w:t xml:space="preserve"> </w:t>
      </w:r>
      <w:r w:rsidR="00704973">
        <w:rPr>
          <w:rFonts w:cstheme="minorBidi"/>
          <w:i/>
        </w:rPr>
        <w:t>(Topic 81</w:t>
      </w:r>
      <w:r w:rsidR="001864B1">
        <w:rPr>
          <w:rFonts w:cstheme="minorBidi"/>
          <w:i/>
        </w:rPr>
        <w:t>0)</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3C811ED3" w14:textId="77777777" w:rsidR="00316CB2" w:rsidRDefault="00316CB2" w:rsidP="00316CB2">
      <w:pPr>
        <w:pStyle w:val="NoSpacing"/>
        <w:jc w:val="both"/>
      </w:pPr>
    </w:p>
    <w:p w14:paraId="408866BC" w14:textId="0D144129" w:rsidR="00316CB2" w:rsidRDefault="00631F9E" w:rsidP="00316CB2">
      <w:pPr>
        <w:pStyle w:val="NoSpacing"/>
        <w:jc w:val="both"/>
      </w:pPr>
      <w:r>
        <w:t>In gener</w:t>
      </w:r>
      <w:r w:rsidR="00CA064B">
        <w:t xml:space="preserve">al, we </w:t>
      </w:r>
      <w:r w:rsidR="00425ACC">
        <w:t>are supportive of</w:t>
      </w:r>
      <w:r w:rsidR="00CA064B">
        <w:t xml:space="preserve"> the </w:t>
      </w:r>
      <w:r w:rsidR="00425ACC">
        <w:t xml:space="preserve">Board’s </w:t>
      </w:r>
      <w:r w:rsidR="00CA064B">
        <w:t>proposed changes</w:t>
      </w:r>
      <w:r w:rsidR="00425ACC">
        <w:t>, as it</w:t>
      </w:r>
      <w:r w:rsidR="00CA064B">
        <w:t xml:space="preserve"> will improve </w:t>
      </w:r>
      <w:r w:rsidR="007F305D">
        <w:t xml:space="preserve">Topic 810, </w:t>
      </w:r>
      <w:r w:rsidR="007F305D" w:rsidRPr="00B43E6A">
        <w:rPr>
          <w:i/>
        </w:rPr>
        <w:t>Consolidation</w:t>
      </w:r>
      <w:r w:rsidR="007F305D">
        <w:t xml:space="preserve">, by streamlining and </w:t>
      </w:r>
      <w:r w:rsidR="00F75C23">
        <w:t xml:space="preserve">simplifying the guidance relating to variable interest entities that today is overly complex and </w:t>
      </w:r>
      <w:r w:rsidR="008F7475">
        <w:t xml:space="preserve">inconsistently </w:t>
      </w:r>
      <w:r w:rsidR="00F75C23">
        <w:t>appl</w:t>
      </w:r>
      <w:r w:rsidR="008F7475">
        <w:t>ied</w:t>
      </w:r>
      <w:r w:rsidR="00F75C23">
        <w:t>.</w:t>
      </w:r>
    </w:p>
    <w:p w14:paraId="4BDA0B38" w14:textId="77777777" w:rsidR="008F24DE" w:rsidRDefault="008F24DE" w:rsidP="00316CB2">
      <w:pPr>
        <w:pStyle w:val="NoSpacing"/>
        <w:jc w:val="both"/>
      </w:pPr>
    </w:p>
    <w:p w14:paraId="06ED43C8" w14:textId="77777777" w:rsidR="008F24DE" w:rsidRDefault="008F24DE" w:rsidP="00316CB2">
      <w:pPr>
        <w:pStyle w:val="NoSpacing"/>
        <w:jc w:val="both"/>
      </w:pPr>
      <w:r>
        <w:t>We have provided our responses to certain questions raised in the proposed ASU below.</w:t>
      </w:r>
    </w:p>
    <w:p w14:paraId="574DFA5D" w14:textId="77777777" w:rsidR="00AD1FD1" w:rsidRDefault="00AD1FD1" w:rsidP="00316CB2">
      <w:pPr>
        <w:pStyle w:val="NoSpacing"/>
        <w:jc w:val="both"/>
      </w:pPr>
    </w:p>
    <w:p w14:paraId="658AB027" w14:textId="77777777" w:rsidR="00AD1FD1" w:rsidRDefault="00AD1FD1" w:rsidP="00316CB2">
      <w:pPr>
        <w:pStyle w:val="NoSpacing"/>
        <w:jc w:val="both"/>
      </w:pPr>
    </w:p>
    <w:p w14:paraId="1494B75D" w14:textId="77777777" w:rsidR="00B20EE2" w:rsidRDefault="00B20EE2" w:rsidP="00316CB2">
      <w:pPr>
        <w:pStyle w:val="NoSpacing"/>
        <w:jc w:val="both"/>
      </w:pPr>
    </w:p>
    <w:p w14:paraId="284B338B" w14:textId="77777777" w:rsidR="00AD1FD1" w:rsidRDefault="00AD1FD1" w:rsidP="00B96790">
      <w:r>
        <w:rPr>
          <w:b/>
        </w:rPr>
        <w:t>Question 1:</w:t>
      </w:r>
      <w:r w:rsidR="00B96790">
        <w:t xml:space="preserve">  Should all common control arrangements (that is, for both private companies and public business entities) be excluded from the scope of VIE guidance (as opposed to just an option for private companies as provided in the amendments in this proposed Update)? Please explain.</w:t>
      </w:r>
    </w:p>
    <w:p w14:paraId="0D2B247F" w14:textId="4CDA0CB9" w:rsidR="00B068D6" w:rsidRDefault="00AD1FD1" w:rsidP="00B96790">
      <w:r>
        <w:rPr>
          <w:b/>
        </w:rPr>
        <w:t xml:space="preserve">Response: </w:t>
      </w:r>
      <w:r w:rsidR="00210D3B">
        <w:rPr>
          <w:b/>
        </w:rPr>
        <w:t xml:space="preserve">– </w:t>
      </w:r>
      <w:r w:rsidR="00210D3B">
        <w:t>We do not believe all common control arrangements should be excluded</w:t>
      </w:r>
      <w:r w:rsidR="00580524">
        <w:t xml:space="preserve"> from the scope of VIE guidance.  We believe</w:t>
      </w:r>
      <w:r w:rsidR="00210D3B">
        <w:t xml:space="preserve"> only private companies should be afforded the option to be excluded from the scope of VIE guidance. </w:t>
      </w:r>
      <w:r w:rsidR="008F7475">
        <w:t>U</w:t>
      </w:r>
      <w:r w:rsidR="00210D3B">
        <w:t>sers of private company financial statements typically include</w:t>
      </w:r>
      <w:r w:rsidR="00580524">
        <w:t xml:space="preserve"> owners and lenders who </w:t>
      </w:r>
      <w:r w:rsidR="002F4DA8">
        <w:t>generally</w:t>
      </w:r>
      <w:r w:rsidR="009D7B6D">
        <w:t xml:space="preserve"> </w:t>
      </w:r>
      <w:r w:rsidR="00580524">
        <w:t>have access to more information about a company beyond that company’s financial statements</w:t>
      </w:r>
      <w:r w:rsidR="002F4DA8">
        <w:t>.  A</w:t>
      </w:r>
      <w:r w:rsidR="008F7475">
        <w:t>ccordingly,</w:t>
      </w:r>
      <w:r w:rsidR="002F4DA8">
        <w:t xml:space="preserve"> private company financial statement users are usually </w:t>
      </w:r>
      <w:r w:rsidR="00580524">
        <w:t>in a better position than</w:t>
      </w:r>
      <w:r w:rsidR="008F7475">
        <w:t xml:space="preserve"> users of</w:t>
      </w:r>
      <w:r w:rsidR="00580524">
        <w:t xml:space="preserve"> </w:t>
      </w:r>
      <w:r w:rsidR="009D7B6D">
        <w:t xml:space="preserve">public </w:t>
      </w:r>
      <w:r w:rsidR="008F7475">
        <w:t>business</w:t>
      </w:r>
      <w:r w:rsidR="009D7B6D">
        <w:t xml:space="preserve"> entit</w:t>
      </w:r>
      <w:r w:rsidR="008F7475">
        <w:t>y</w:t>
      </w:r>
      <w:r w:rsidR="000205C5">
        <w:t xml:space="preserve"> financial statement</w:t>
      </w:r>
      <w:r w:rsidR="008F7475">
        <w:t>s</w:t>
      </w:r>
      <w:r w:rsidR="00580524">
        <w:t xml:space="preserve"> </w:t>
      </w:r>
      <w:r w:rsidR="008F7475">
        <w:t>to</w:t>
      </w:r>
      <w:r w:rsidR="00580524">
        <w:t xml:space="preserve"> evaluat</w:t>
      </w:r>
      <w:r w:rsidR="008F7475">
        <w:t>e</w:t>
      </w:r>
      <w:r w:rsidR="00580524">
        <w:t xml:space="preserve"> related party transactions </w:t>
      </w:r>
      <w:r w:rsidR="002F4DA8">
        <w:t xml:space="preserve">or transactions between entities under common control, </w:t>
      </w:r>
      <w:r w:rsidR="00580524">
        <w:t>and the im</w:t>
      </w:r>
      <w:r w:rsidR="009D7B6D">
        <w:t xml:space="preserve">pact of those transactions on an entity’s </w:t>
      </w:r>
      <w:r w:rsidR="00580524">
        <w:t xml:space="preserve">financial position and results of operations. </w:t>
      </w:r>
      <w:r w:rsidR="006F47C1">
        <w:t>For users of public business entity financial statements, application of the VIE guidance continues to</w:t>
      </w:r>
      <w:r w:rsidR="006F47C1" w:rsidRPr="006F47C1">
        <w:t xml:space="preserve"> provide</w:t>
      </w:r>
      <w:r w:rsidR="006F47C1">
        <w:t xml:space="preserve"> valuable</w:t>
      </w:r>
      <w:r w:rsidR="006F47C1" w:rsidRPr="006F47C1">
        <w:t xml:space="preserve"> information, not otherwise available, regarding</w:t>
      </w:r>
      <w:r w:rsidR="006F47C1">
        <w:t xml:space="preserve"> an entity’s involvement with</w:t>
      </w:r>
      <w:r w:rsidR="006F47C1" w:rsidRPr="006F47C1">
        <w:t xml:space="preserve"> entities </w:t>
      </w:r>
      <w:r w:rsidR="006F47C1">
        <w:t xml:space="preserve">under common control that are </w:t>
      </w:r>
      <w:r w:rsidR="006F47C1" w:rsidRPr="006F47C1">
        <w:t>not controlled through voting interests or in which the equity investors do not bear the residual economic risk.</w:t>
      </w:r>
      <w:r w:rsidR="00B068D6">
        <w:t xml:space="preserve"> </w:t>
      </w:r>
    </w:p>
    <w:p w14:paraId="6426E980" w14:textId="77777777" w:rsidR="00EF293E" w:rsidRDefault="00EF293E" w:rsidP="00B96790">
      <w:pPr>
        <w:rPr>
          <w:b/>
        </w:rPr>
      </w:pPr>
    </w:p>
    <w:p w14:paraId="4B23E531" w14:textId="77777777" w:rsidR="00B96790" w:rsidRDefault="00AD1FD1" w:rsidP="00B96790">
      <w:r>
        <w:rPr>
          <w:b/>
        </w:rPr>
        <w:lastRenderedPageBreak/>
        <w:t xml:space="preserve">Question 2: </w:t>
      </w:r>
      <w:r w:rsidR="00B96790" w:rsidRPr="00B96790">
        <w:t xml:space="preserve">Do you agree that a private company (reporting entity) should have an option to not apply VIE guidance to legal entities under common control if both the common control parent and the legal entity being evaluated for consolidation are not public business entities? If not, please explain why. </w:t>
      </w:r>
    </w:p>
    <w:p w14:paraId="3B1C6676" w14:textId="19B6C46F" w:rsidR="00B96790" w:rsidRDefault="00B96790" w:rsidP="00B96790">
      <w:r>
        <w:rPr>
          <w:b/>
        </w:rPr>
        <w:t>Response</w:t>
      </w:r>
      <w:r>
        <w:t xml:space="preserve">: </w:t>
      </w:r>
      <w:r w:rsidR="008F7475">
        <w:t>For the reason expressed in our response to Question 1, w</w:t>
      </w:r>
      <w:r w:rsidR="004E4E3E">
        <w:t xml:space="preserve">e </w:t>
      </w:r>
      <w:r w:rsidR="008F7475">
        <w:t>agree</w:t>
      </w:r>
      <w:r w:rsidR="004E4E3E">
        <w:t xml:space="preserve"> that private companies should have the option to not apply VIE guidance to legal entities under common control.  </w:t>
      </w:r>
    </w:p>
    <w:p w14:paraId="4B9398A7" w14:textId="77777777" w:rsidR="00FF1F1D" w:rsidRDefault="00FF1F1D" w:rsidP="00B96790">
      <w:pPr>
        <w:rPr>
          <w:b/>
        </w:rPr>
      </w:pPr>
    </w:p>
    <w:p w14:paraId="78542C0F" w14:textId="77777777" w:rsidR="00B96790" w:rsidRPr="00B96790" w:rsidRDefault="00B96790" w:rsidP="00B96790">
      <w:r w:rsidRPr="00B96790">
        <w:rPr>
          <w:b/>
        </w:rPr>
        <w:t xml:space="preserve">Question 3: </w:t>
      </w:r>
      <w:r w:rsidRPr="00B96790">
        <w:t xml:space="preserve">Should the current accounting alternative for private company leasing arrangements under common control provided under Update 2014-07 be retained, or should it be replaced by the proposed broader private company alternative, assuming this proposed Update is finalized? Would the proposed accounting alternative continue to address the concerns of private companies currently applying the accounting alternative for leasing arrangements under common control? If not, please explain why. Additionally, what existing leasing arrangements that are eligible to be accounted for using the current alternative, if any, would not be captured by the accounting alternative in the proposed amendments? </w:t>
      </w:r>
    </w:p>
    <w:p w14:paraId="502B4325" w14:textId="1B73DFC2" w:rsidR="00B96790" w:rsidRDefault="00B96790" w:rsidP="00B96790">
      <w:r>
        <w:rPr>
          <w:b/>
        </w:rPr>
        <w:t>Response</w:t>
      </w:r>
      <w:r>
        <w:t xml:space="preserve">: </w:t>
      </w:r>
      <w:r w:rsidR="008F7475">
        <w:t>W</w:t>
      </w:r>
      <w:r w:rsidR="004E4E3E">
        <w:t>e believe that the</w:t>
      </w:r>
      <w:r w:rsidR="008F7475">
        <w:t xml:space="preserve"> guidance in the</w:t>
      </w:r>
      <w:r w:rsidR="004E4E3E">
        <w:t xml:space="preserve"> proposed </w:t>
      </w:r>
      <w:r w:rsidR="008F7475">
        <w:t>U</w:t>
      </w:r>
      <w:r w:rsidR="004E4E3E">
        <w:t xml:space="preserve">pdate should replace </w:t>
      </w:r>
      <w:r w:rsidR="008F7475">
        <w:t xml:space="preserve">the guidance in </w:t>
      </w:r>
      <w:r w:rsidR="004E4E3E">
        <w:t xml:space="preserve">Update 2014-07.  We do not believe there should be multiple frameworks for private companies </w:t>
      </w:r>
      <w:r w:rsidR="008F7475">
        <w:t>to</w:t>
      </w:r>
      <w:r w:rsidR="004E4E3E">
        <w:t xml:space="preserve"> evaluat</w:t>
      </w:r>
      <w:r w:rsidR="008F7475">
        <w:t>e</w:t>
      </w:r>
      <w:r w:rsidR="004E4E3E">
        <w:t xml:space="preserve"> legal entities under common control.  </w:t>
      </w:r>
      <w:r w:rsidR="00FC31A6">
        <w:t xml:space="preserve">We believe the proposed accounting alternative would continue to address the concerns of private companies that have adopted </w:t>
      </w:r>
      <w:r w:rsidR="008F7475">
        <w:t xml:space="preserve">the guidance in </w:t>
      </w:r>
      <w:r w:rsidR="00FC31A6">
        <w:t xml:space="preserve">Update 2014-07, as the proposed accounting alternative would continue to allow private companies operating under common control lease arrangements to be excluded from applying the VIE guidance.  We </w:t>
      </w:r>
      <w:r w:rsidR="008F7475">
        <w:t>are not aware of</w:t>
      </w:r>
      <w:r w:rsidR="00FC31A6">
        <w:t xml:space="preserve"> existing lease arrangements</w:t>
      </w:r>
      <w:r w:rsidR="00C67E1C">
        <w:t xml:space="preserve"> eligible for the current alternative</w:t>
      </w:r>
      <w:r w:rsidR="00FC31A6">
        <w:t xml:space="preserve"> that the proposed </w:t>
      </w:r>
      <w:r w:rsidR="00C67E1C">
        <w:t>guidance would not capture</w:t>
      </w:r>
      <w:r w:rsidR="00FC31A6">
        <w:t>.</w:t>
      </w:r>
    </w:p>
    <w:p w14:paraId="26BBBA7C" w14:textId="77777777" w:rsidR="00FF1F1D" w:rsidRDefault="00FF1F1D" w:rsidP="00B96790">
      <w:pPr>
        <w:rPr>
          <w:b/>
        </w:rPr>
      </w:pPr>
    </w:p>
    <w:p w14:paraId="0AEDEAEF" w14:textId="77777777" w:rsidR="00AD1FD1" w:rsidRDefault="00B96790" w:rsidP="00B96790">
      <w:r w:rsidRPr="00B96790">
        <w:rPr>
          <w:b/>
        </w:rPr>
        <w:t xml:space="preserve">Question 4: </w:t>
      </w:r>
      <w:r w:rsidRPr="00B96790">
        <w:t xml:space="preserve">Do the proposed disclosure requirements in paragraphs 810-10-50-2AG through 50-2AI adequately provide information about a reporting entity’s involvement with and exposure to a legal entity? If not, please explain why. Also, please elaborate on any additional disclosures that you consider necessary to appropriately reflect a reporting entity’s involvement with and exposure to a legal entity. </w:t>
      </w:r>
    </w:p>
    <w:p w14:paraId="645A9C07" w14:textId="323869C9" w:rsidR="00AD1FD1" w:rsidRDefault="00AD1FD1" w:rsidP="00AD1FD1">
      <w:r>
        <w:rPr>
          <w:b/>
        </w:rPr>
        <w:t>Response</w:t>
      </w:r>
      <w:r>
        <w:t>:</w:t>
      </w:r>
      <w:r w:rsidR="000F7F99">
        <w:t xml:space="preserve"> </w:t>
      </w:r>
      <w:r w:rsidR="00FC31A6">
        <w:t xml:space="preserve">We believe that the proposed disclosure requirements in paragraphs 810-10-50-2AG through 50-2AI provide adequate information </w:t>
      </w:r>
      <w:r w:rsidR="000F7F99">
        <w:t xml:space="preserve">to users of private company financial statements about a reporting entity’s involvement with and exposure to a legal entity.  </w:t>
      </w:r>
    </w:p>
    <w:p w14:paraId="0320A425" w14:textId="77777777" w:rsidR="00FF1F1D" w:rsidRDefault="00FF1F1D" w:rsidP="00B96790">
      <w:pPr>
        <w:rPr>
          <w:b/>
        </w:rPr>
      </w:pPr>
    </w:p>
    <w:p w14:paraId="1645CCA0" w14:textId="77777777" w:rsidR="00AD1FD1" w:rsidRDefault="00B96790" w:rsidP="00B96790">
      <w:r w:rsidRPr="00B96790">
        <w:rPr>
          <w:b/>
        </w:rPr>
        <w:t>Question 5:</w:t>
      </w:r>
      <w:r>
        <w:t xml:space="preserve"> Should indirect interests held through related parties that are under common control with a decision maker or service provider be considered on a proportionate basis, as opposed to being considered the equivalent of a direct interest in its entirety, when determining whether a decision-making fee is a variable interest in a VIE? If not, please explain why.</w:t>
      </w:r>
    </w:p>
    <w:p w14:paraId="0EC7DDE9" w14:textId="77777777" w:rsidR="00B96790" w:rsidRDefault="00B96790" w:rsidP="00B96790">
      <w:r>
        <w:rPr>
          <w:b/>
        </w:rPr>
        <w:t>Response</w:t>
      </w:r>
      <w:r>
        <w:t xml:space="preserve">: </w:t>
      </w:r>
      <w:r w:rsidR="002E70AB">
        <w:t>We agree that when determining whether a decision-making fee is a variable interest, the reporting entity should consider indirect interest held through related parties that are under common control with it on a proportionate basis</w:t>
      </w:r>
      <w:r w:rsidR="00FF1F1D">
        <w:t xml:space="preserve">. </w:t>
      </w:r>
    </w:p>
    <w:p w14:paraId="2498FE93" w14:textId="77777777" w:rsidR="00FF1F1D" w:rsidRDefault="00FF1F1D" w:rsidP="00B96790">
      <w:pPr>
        <w:rPr>
          <w:b/>
        </w:rPr>
      </w:pPr>
    </w:p>
    <w:p w14:paraId="1C6B1975" w14:textId="77777777" w:rsidR="00B96790" w:rsidRDefault="00B96790" w:rsidP="00B96790">
      <w:r w:rsidRPr="00B96790">
        <w:rPr>
          <w:b/>
        </w:rPr>
        <w:t>Question 6:</w:t>
      </w:r>
      <w:r>
        <w:t xml:space="preserve"> Should a reporting entity be required to determine whether a controlling financial interest exists at the reporting entity level for situations in which power is shared among related parties or when related parties under common control, as a group, have a controlling financial interest but the parties individually do not? If not, please explain why. In doing so it is acknowledged that, in certain situations, it is possible that no reporting entity under common control will consolidate a VIE. </w:t>
      </w:r>
    </w:p>
    <w:p w14:paraId="53BC5EFE" w14:textId="475BE7D3" w:rsidR="00B96790" w:rsidRDefault="00B96790" w:rsidP="00B96790">
      <w:r>
        <w:rPr>
          <w:b/>
        </w:rPr>
        <w:t>Response</w:t>
      </w:r>
      <w:r>
        <w:t xml:space="preserve">: </w:t>
      </w:r>
      <w:r w:rsidR="00F75C23">
        <w:t>We agree that if the private company alternative is</w:t>
      </w:r>
      <w:r w:rsidR="00F6136F">
        <w:t xml:space="preserve"> </w:t>
      </w:r>
      <w:r w:rsidR="00F75C23">
        <w:t>n</w:t>
      </w:r>
      <w:r w:rsidR="00F6136F">
        <w:t>o</w:t>
      </w:r>
      <w:r w:rsidR="00F75C23">
        <w:t>t elected by a private entity,</w:t>
      </w:r>
      <w:r w:rsidR="00B6255A">
        <w:t xml:space="preserve"> the reporting entity should be required to determine whether a controlling financial interest exists at the reporting entity level for situations in which power is shared among related parties. We believe</w:t>
      </w:r>
      <w:r w:rsidR="00F95FF5">
        <w:t xml:space="preserve"> </w:t>
      </w:r>
      <w:r w:rsidR="00F75C23">
        <w:t>it</w:t>
      </w:r>
      <w:r w:rsidR="00F6136F">
        <w:t xml:space="preserve"> i</w:t>
      </w:r>
      <w:r w:rsidR="00E11569">
        <w:t>s important</w:t>
      </w:r>
      <w:r w:rsidR="00F6136F">
        <w:t xml:space="preserve"> for the Board</w:t>
      </w:r>
      <w:r w:rsidR="00E11569">
        <w:t xml:space="preserve"> to provide guidance addressing those situations in which power is shared among related parties or under a common control group where individually those entities do not have a controlling financial interest. We believe many private entities will elect the private company alternative to not apply the VIE guidance, and </w:t>
      </w:r>
      <w:r w:rsidR="00F6136F">
        <w:t xml:space="preserve">where required by loan requirements, choose to </w:t>
      </w:r>
      <w:r w:rsidR="00E11569">
        <w:t xml:space="preserve">combine select reporting entities based on their individual facts and circumstances. However, for those </w:t>
      </w:r>
      <w:r w:rsidR="00AF4BC0">
        <w:t xml:space="preserve">private </w:t>
      </w:r>
      <w:r w:rsidR="00E11569">
        <w:t xml:space="preserve">entities not electing the private company alternative, this analysis </w:t>
      </w:r>
      <w:r w:rsidR="00AF4BC0">
        <w:t>is</w:t>
      </w:r>
      <w:r w:rsidR="00E11569">
        <w:t xml:space="preserve"> important to ensure </w:t>
      </w:r>
      <w:r w:rsidR="00AF4BC0">
        <w:t>the consideration of</w:t>
      </w:r>
      <w:r w:rsidR="00E11569">
        <w:t xml:space="preserve"> shared power </w:t>
      </w:r>
      <w:r w:rsidR="00F6136F">
        <w:t>at the reporting entity level</w:t>
      </w:r>
      <w:r w:rsidR="00AF4BC0">
        <w:t xml:space="preserve"> </w:t>
      </w:r>
      <w:r w:rsidR="00030982">
        <w:t>is reflective of</w:t>
      </w:r>
      <w:r w:rsidR="00F6136F">
        <w:t xml:space="preserve"> </w:t>
      </w:r>
      <w:r w:rsidR="00E11569">
        <w:t xml:space="preserve">the underlying economics </w:t>
      </w:r>
      <w:r w:rsidR="00030982">
        <w:t>of the VIE on the common control group</w:t>
      </w:r>
      <w:r w:rsidR="00FF1F1D">
        <w:t>.</w:t>
      </w:r>
    </w:p>
    <w:p w14:paraId="7C9506AB" w14:textId="77777777" w:rsidR="00FF1F1D" w:rsidRDefault="00FF1F1D" w:rsidP="00B96790">
      <w:pPr>
        <w:rPr>
          <w:b/>
        </w:rPr>
      </w:pPr>
    </w:p>
    <w:p w14:paraId="7C2DCA80" w14:textId="77777777" w:rsidR="00B96790" w:rsidRDefault="00B96790" w:rsidP="00B96790">
      <w:r w:rsidRPr="00B96790">
        <w:rPr>
          <w:b/>
        </w:rPr>
        <w:t xml:space="preserve">Question 7: </w:t>
      </w:r>
      <w:r>
        <w:t>Are the factors in paragraph 810-10-25-44A adequate for determining whether a reporting entity within a common control group may be the primary beneficiary of a VIE? If not, please explain why and describe what other factors you would recommend.</w:t>
      </w:r>
    </w:p>
    <w:p w14:paraId="03BE7E6C" w14:textId="4FE3DBE8" w:rsidR="00B96790" w:rsidRDefault="00B96790" w:rsidP="00B96790">
      <w:r>
        <w:rPr>
          <w:b/>
        </w:rPr>
        <w:t>Response</w:t>
      </w:r>
      <w:r>
        <w:t xml:space="preserve">: </w:t>
      </w:r>
      <w:r w:rsidR="00030982">
        <w:t>We believe the factors included in paragraph 810-10-25-44A are</w:t>
      </w:r>
      <w:r w:rsidR="0088592C">
        <w:t xml:space="preserve"> </w:t>
      </w:r>
      <w:r w:rsidR="00030982">
        <w:t>adequate and provide clarity and simplification in the application of professional judgment around the determination of the primary beneficiary of VIE w</w:t>
      </w:r>
      <w:r w:rsidR="00FF1F1D">
        <w:t>ithin the common control group.</w:t>
      </w:r>
    </w:p>
    <w:p w14:paraId="3E04BAB1" w14:textId="77777777" w:rsidR="00FF1F1D" w:rsidRDefault="00FF1F1D" w:rsidP="00B96790">
      <w:pPr>
        <w:pStyle w:val="NoSpacing"/>
        <w:jc w:val="both"/>
        <w:rPr>
          <w:b/>
        </w:rPr>
      </w:pPr>
    </w:p>
    <w:p w14:paraId="567B00C0" w14:textId="77777777" w:rsidR="0007216B" w:rsidRDefault="00B96790" w:rsidP="00B96790">
      <w:pPr>
        <w:pStyle w:val="NoSpacing"/>
        <w:jc w:val="both"/>
      </w:pPr>
      <w:r w:rsidRPr="00B96790">
        <w:rPr>
          <w:b/>
        </w:rPr>
        <w:t xml:space="preserve">Question 8: </w:t>
      </w:r>
      <w:r>
        <w:t>Does the “related party tie-breaker” test currently in GAAP (paragraph 810-10-25-44) result in appropriate consolidation results? If yes, please explain why. Alternatively, would the proposed amendments cause unintended consequences or allow reporting entities to achieve a desired consolidation result that is inconsistent with the economics of a related party arrangement? If yes, please explain how.</w:t>
      </w:r>
    </w:p>
    <w:p w14:paraId="47D8A788" w14:textId="77777777" w:rsidR="00B96790" w:rsidRDefault="00B96790" w:rsidP="00B96790">
      <w:pPr>
        <w:pStyle w:val="NoSpacing"/>
        <w:jc w:val="both"/>
      </w:pPr>
    </w:p>
    <w:p w14:paraId="5A8D2DD7" w14:textId="2A09298F" w:rsidR="00B96790" w:rsidRDefault="00B96790" w:rsidP="00B96790">
      <w:r>
        <w:rPr>
          <w:b/>
        </w:rPr>
        <w:t>Response</w:t>
      </w:r>
      <w:r>
        <w:t>:</w:t>
      </w:r>
      <w:r w:rsidR="00EF293E">
        <w:t xml:space="preserve"> </w:t>
      </w:r>
      <w:r w:rsidR="009B006B">
        <w:t>We</w:t>
      </w:r>
      <w:r w:rsidR="00AF35EB">
        <w:t xml:space="preserve"> are not aware of any unintended consequences of applying</w:t>
      </w:r>
      <w:r w:rsidR="004A614C">
        <w:t xml:space="preserve"> the proposed amendments</w:t>
      </w:r>
      <w:r w:rsidR="00AF35EB">
        <w:t xml:space="preserve">, and that the proposal </w:t>
      </w:r>
      <w:r w:rsidR="00170126">
        <w:t xml:space="preserve">should </w:t>
      </w:r>
      <w:r w:rsidR="00AF35EB">
        <w:t>reduce</w:t>
      </w:r>
      <w:r w:rsidR="004A614C">
        <w:t xml:space="preserve"> structuring concerns </w:t>
      </w:r>
      <w:r w:rsidR="00DA2048">
        <w:t xml:space="preserve">in those situations </w:t>
      </w:r>
      <w:r w:rsidR="004A614C">
        <w:t xml:space="preserve">where </w:t>
      </w:r>
      <w:r w:rsidR="00DA2048">
        <w:t>a private entity did not</w:t>
      </w:r>
      <w:r w:rsidR="004A614C">
        <w:t xml:space="preserve"> elect the</w:t>
      </w:r>
      <w:r w:rsidR="00AF35EB">
        <w:t xml:space="preserve"> proposed</w:t>
      </w:r>
      <w:r w:rsidR="004A614C">
        <w:t xml:space="preserve"> private company alternative. </w:t>
      </w:r>
    </w:p>
    <w:p w14:paraId="7524870A" w14:textId="77777777" w:rsidR="00B96790" w:rsidRDefault="00B96790" w:rsidP="00B96790">
      <w:pPr>
        <w:pStyle w:val="NoSpacing"/>
        <w:jc w:val="both"/>
      </w:pPr>
    </w:p>
    <w:p w14:paraId="155D8717" w14:textId="77777777" w:rsidR="00FF1F1D" w:rsidRDefault="00FF1F1D" w:rsidP="00B96790">
      <w:pPr>
        <w:pStyle w:val="NoSpacing"/>
        <w:jc w:val="both"/>
        <w:rPr>
          <w:b/>
        </w:rPr>
      </w:pPr>
    </w:p>
    <w:p w14:paraId="40144BF5" w14:textId="77777777" w:rsidR="00B96790" w:rsidRDefault="00B96790" w:rsidP="00B96790">
      <w:pPr>
        <w:pStyle w:val="NoSpacing"/>
        <w:jc w:val="both"/>
      </w:pPr>
      <w:r w:rsidRPr="00B96790">
        <w:rPr>
          <w:b/>
        </w:rPr>
        <w:t>Question 9:</w:t>
      </w:r>
      <w:r>
        <w:t xml:space="preserve"> Do you agree with the proposed transition requirements in paragraph 810-10-65-9? If not, what transition approach would be more appropriate? </w:t>
      </w:r>
    </w:p>
    <w:p w14:paraId="65B2BE3C" w14:textId="77777777" w:rsidR="00B96790" w:rsidRDefault="00B96790" w:rsidP="00B96790">
      <w:pPr>
        <w:pStyle w:val="NoSpacing"/>
        <w:jc w:val="both"/>
      </w:pPr>
    </w:p>
    <w:p w14:paraId="1538E189" w14:textId="2A1BDA38" w:rsidR="00B96790" w:rsidRDefault="00B96790" w:rsidP="00B96790">
      <w:r>
        <w:rPr>
          <w:b/>
        </w:rPr>
        <w:t>Response</w:t>
      </w:r>
      <w:r>
        <w:t xml:space="preserve">: </w:t>
      </w:r>
      <w:r w:rsidR="00675508">
        <w:t xml:space="preserve">We believe </w:t>
      </w:r>
      <w:r w:rsidR="000428D9">
        <w:t>the transition requirements should be different for public business entities and other than public business entities. Please see our response to Question 12.</w:t>
      </w:r>
      <w:r w:rsidR="00FF1F1D">
        <w:t xml:space="preserve"> </w:t>
      </w:r>
    </w:p>
    <w:p w14:paraId="098F5AC2" w14:textId="77777777" w:rsidR="00EF293E" w:rsidRDefault="00EF293E" w:rsidP="00B96790"/>
    <w:p w14:paraId="42310129" w14:textId="77777777" w:rsidR="00B96790" w:rsidRDefault="00B96790" w:rsidP="00B96790">
      <w:pPr>
        <w:pStyle w:val="NoSpacing"/>
        <w:jc w:val="both"/>
      </w:pPr>
    </w:p>
    <w:p w14:paraId="6D066B2B" w14:textId="77777777" w:rsidR="00B96790" w:rsidRDefault="00B96790" w:rsidP="00B96790">
      <w:pPr>
        <w:pStyle w:val="NoSpacing"/>
        <w:jc w:val="both"/>
      </w:pPr>
      <w:r w:rsidRPr="00B96790">
        <w:rPr>
          <w:b/>
        </w:rPr>
        <w:t>Question 10:</w:t>
      </w:r>
      <w:r>
        <w:t xml:space="preserve"> Should a reporting entity be required to provide the transition disclosures specified in this proposed Update? Should any other disclosures be required? If so, please explain why. </w:t>
      </w:r>
    </w:p>
    <w:p w14:paraId="2A4A3254" w14:textId="77777777" w:rsidR="00B96790" w:rsidRDefault="00B96790" w:rsidP="00B96790">
      <w:pPr>
        <w:pStyle w:val="NoSpacing"/>
        <w:jc w:val="both"/>
      </w:pPr>
    </w:p>
    <w:p w14:paraId="7B7994F5" w14:textId="3EC71E31" w:rsidR="00B96790" w:rsidRDefault="00B96790" w:rsidP="00B96790">
      <w:r>
        <w:rPr>
          <w:b/>
        </w:rPr>
        <w:t>Response</w:t>
      </w:r>
      <w:r>
        <w:t xml:space="preserve">: </w:t>
      </w:r>
      <w:r w:rsidR="00BD01A3">
        <w:t xml:space="preserve">We agree a reporting entity should provide the transition disclosure specified in the proposed </w:t>
      </w:r>
      <w:r w:rsidR="002B725D">
        <w:t>Update</w:t>
      </w:r>
      <w:r w:rsidR="00BD01A3">
        <w:t xml:space="preserve"> and no other disclosures are necessary. </w:t>
      </w:r>
    </w:p>
    <w:p w14:paraId="2C6FD690" w14:textId="77777777" w:rsidR="00B96790" w:rsidRDefault="00B96790" w:rsidP="00B96790">
      <w:pPr>
        <w:pStyle w:val="NoSpacing"/>
        <w:jc w:val="both"/>
      </w:pPr>
    </w:p>
    <w:p w14:paraId="59871513" w14:textId="77777777" w:rsidR="00B96790" w:rsidRDefault="00B96790" w:rsidP="00B96790">
      <w:pPr>
        <w:pStyle w:val="NoSpacing"/>
        <w:jc w:val="both"/>
      </w:pPr>
      <w:r w:rsidRPr="00B96790">
        <w:rPr>
          <w:b/>
        </w:rPr>
        <w:t>Question 12:</w:t>
      </w:r>
      <w:r>
        <w:t xml:space="preserve"> Should the proposed amendments be effective on the same date for both public business entities and entities other than public business entities? </w:t>
      </w:r>
    </w:p>
    <w:p w14:paraId="2E404DAC" w14:textId="77777777" w:rsidR="00B96790" w:rsidRDefault="00B96790" w:rsidP="00B96790">
      <w:pPr>
        <w:pStyle w:val="NoSpacing"/>
        <w:jc w:val="both"/>
      </w:pPr>
    </w:p>
    <w:p w14:paraId="73F09C2B" w14:textId="3ECF38C8" w:rsidR="00B96790" w:rsidRDefault="00B96790" w:rsidP="00B96790">
      <w:r>
        <w:rPr>
          <w:b/>
        </w:rPr>
        <w:t>Response</w:t>
      </w:r>
      <w:r>
        <w:t>:</w:t>
      </w:r>
      <w:r w:rsidR="00EF293E">
        <w:t xml:space="preserve"> </w:t>
      </w:r>
      <w:r w:rsidR="00B53A15">
        <w:t>We believe private reporting entities may need additional time to evaluate adopting the accounting alternative outlined in issue 1</w:t>
      </w:r>
      <w:r w:rsidR="00AF35EB">
        <w:t>,</w:t>
      </w:r>
      <w:r w:rsidR="00B53A15">
        <w:t xml:space="preserve"> and requiring adoption of issue 1 at the same time ASU 2015-02 is or was adopted may not provide those entities sufficient time. As drafted, the proposed Update would require private companies to adopt issue 1 concurrently with issue 2 and 3</w:t>
      </w:r>
      <w:r w:rsidR="00AF35EB">
        <w:t>.</w:t>
      </w:r>
      <w:r w:rsidR="00B53A15">
        <w:t xml:space="preserve"> </w:t>
      </w:r>
      <w:r w:rsidR="00AF35EB">
        <w:t>H</w:t>
      </w:r>
      <w:r w:rsidR="00B53A15">
        <w:t xml:space="preserve">owever, private companies may need additional time to consider what impact, if any, adoption of issue 1 may have on compliance with loan covenants or other agreements and accordingly, may need to amend these agreements </w:t>
      </w:r>
      <w:r w:rsidR="00AF35EB">
        <w:t>prior to</w:t>
      </w:r>
      <w:r w:rsidR="00B53A15">
        <w:t xml:space="preserve"> adoption.   </w:t>
      </w:r>
    </w:p>
    <w:p w14:paraId="70A411E8" w14:textId="77777777" w:rsidR="00B96790" w:rsidRDefault="00B96790" w:rsidP="00B96790">
      <w:pPr>
        <w:pStyle w:val="NoSpacing"/>
        <w:jc w:val="both"/>
      </w:pPr>
    </w:p>
    <w:p w14:paraId="614FEDE3" w14:textId="77777777" w:rsidR="00B96790" w:rsidRDefault="00B96790" w:rsidP="00B96790">
      <w:pPr>
        <w:pStyle w:val="NoSpacing"/>
        <w:jc w:val="both"/>
      </w:pPr>
      <w:r w:rsidRPr="00B96790">
        <w:rPr>
          <w:b/>
        </w:rPr>
        <w:t xml:space="preserve">Question 13: </w:t>
      </w:r>
      <w:r>
        <w:t>Should the effective date of the private company accounting alternative be consistent with the amendments in Accounting Standards Update No. 2016-03, Intangibles—Goodwill and Other (Topic 350), Business Combinations (Topic 805), Consolidation (Topic 810), Derivatives and Hedging (Topic 815): Effective Date and Transition Guidance?</w:t>
      </w:r>
    </w:p>
    <w:p w14:paraId="5265FA00" w14:textId="77777777" w:rsidR="00B96790" w:rsidRDefault="00B96790" w:rsidP="00B96790">
      <w:pPr>
        <w:pStyle w:val="NoSpacing"/>
        <w:jc w:val="both"/>
      </w:pPr>
    </w:p>
    <w:p w14:paraId="408B230B" w14:textId="663DAE78" w:rsidR="00EF293E" w:rsidRDefault="00B96790" w:rsidP="00B96790">
      <w:r>
        <w:rPr>
          <w:b/>
        </w:rPr>
        <w:t>Response</w:t>
      </w:r>
      <w:r>
        <w:t xml:space="preserve">: </w:t>
      </w:r>
      <w:r w:rsidR="002B1447">
        <w:t>We do not believe the private company accounting alternative effective date should be the same as that provided in ASU 2016-03</w:t>
      </w:r>
      <w:r w:rsidR="00B63503">
        <w:t>.  W</w:t>
      </w:r>
      <w:r w:rsidR="002B1447">
        <w:t>e believe a private company should be allowed additional time to consider the adoption of issue 1</w:t>
      </w:r>
      <w:r w:rsidR="00B63503">
        <w:t>, if necessary</w:t>
      </w:r>
      <w:r w:rsidR="00082B02">
        <w:t xml:space="preserve">, </w:t>
      </w:r>
      <w:r w:rsidR="000F0804">
        <w:t>and as suc</w:t>
      </w:r>
      <w:r w:rsidR="00082B02">
        <w:t xml:space="preserve">h, </w:t>
      </w:r>
      <w:r w:rsidR="000F0804">
        <w:t xml:space="preserve">the effective date should be extended beyond that of issues 2 and 3 for private companies.  Notwithstanding that, we believe some private companies may wish to early adopt issue 1 prior to its effective date, and accordingly, the proposed Update should allow private companies to do so if they elect the accounting alternative. </w:t>
      </w:r>
    </w:p>
    <w:p w14:paraId="363EC367" w14:textId="77777777" w:rsidR="003E6D96" w:rsidRDefault="003E6D96" w:rsidP="00B96790"/>
    <w:p w14:paraId="46D2DA09" w14:textId="77777777" w:rsidR="00316CB2" w:rsidRDefault="008C6A43" w:rsidP="008C6A43">
      <w:pPr>
        <w:spacing w:after="0"/>
        <w:jc w:val="center"/>
      </w:pPr>
      <w:r>
        <w:t xml:space="preserve">* </w:t>
      </w:r>
      <w:r>
        <w:tab/>
        <w:t>*</w:t>
      </w:r>
      <w:r>
        <w:tab/>
        <w:t>*</w:t>
      </w:r>
      <w:r>
        <w:tab/>
        <w:t>*</w:t>
      </w:r>
      <w:r>
        <w:tab/>
        <w:t>*</w:t>
      </w:r>
      <w:r>
        <w:tab/>
        <w:t>*</w:t>
      </w:r>
    </w:p>
    <w:p w14:paraId="22036D35" w14:textId="77777777" w:rsidR="008C6A43" w:rsidRDefault="008C6A43" w:rsidP="008C6A43">
      <w:pPr>
        <w:spacing w:after="0"/>
        <w:jc w:val="center"/>
      </w:pPr>
    </w:p>
    <w:p w14:paraId="78813DE0" w14:textId="77777777"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112FC05A" w14:textId="77777777" w:rsidR="00316CB2" w:rsidRPr="00F34F90" w:rsidRDefault="00316CB2" w:rsidP="00316CB2">
      <w:pPr>
        <w:spacing w:after="0"/>
        <w:jc w:val="both"/>
      </w:pPr>
    </w:p>
    <w:p w14:paraId="6FF2E77A" w14:textId="77777777" w:rsidR="00316CB2" w:rsidRPr="00F34F90" w:rsidRDefault="00316CB2" w:rsidP="00316CB2">
      <w:pPr>
        <w:spacing w:after="0"/>
        <w:jc w:val="both"/>
      </w:pPr>
      <w:r w:rsidRPr="00F34F90">
        <w:t>Sincerely,</w:t>
      </w:r>
    </w:p>
    <w:p w14:paraId="54A728A8" w14:textId="77777777" w:rsidR="00316CB2" w:rsidRPr="00F21F08" w:rsidRDefault="00316CB2" w:rsidP="00316CB2">
      <w:pPr>
        <w:jc w:val="both"/>
      </w:pPr>
    </w:p>
    <w:p w14:paraId="2BCFA041"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5743B4AE"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B775399" w14:textId="77777777" w:rsidR="001674EA" w:rsidRDefault="001674EA" w:rsidP="00316CB2">
      <w:pPr>
        <w:spacing w:after="0"/>
        <w:jc w:val="both"/>
        <w:sectPr w:rsidR="001674EA" w:rsidSect="001674EA">
          <w:footerReference w:type="default" r:id="rId8"/>
          <w:headerReference w:type="first" r:id="rId9"/>
          <w:pgSz w:w="12240" w:h="15840"/>
          <w:pgMar w:top="1440" w:right="1152" w:bottom="1440" w:left="1440" w:header="720" w:footer="720" w:gutter="0"/>
          <w:cols w:space="720"/>
          <w:titlePg/>
          <w:docGrid w:linePitch="360"/>
        </w:sectPr>
      </w:pPr>
    </w:p>
    <w:p w14:paraId="0BCEED00" w14:textId="77777777" w:rsidR="00316CB2" w:rsidRPr="00F34F90" w:rsidRDefault="00316CB2" w:rsidP="00316CB2">
      <w:pPr>
        <w:spacing w:after="0"/>
        <w:jc w:val="both"/>
      </w:pPr>
    </w:p>
    <w:p w14:paraId="1C66D95E" w14:textId="77777777" w:rsidR="008A791F" w:rsidRPr="001077B6" w:rsidRDefault="008A791F" w:rsidP="008A791F">
      <w:pPr>
        <w:jc w:val="center"/>
        <w:rPr>
          <w:sz w:val="18"/>
          <w:szCs w:val="18"/>
        </w:rPr>
      </w:pPr>
      <w:r w:rsidRPr="001077B6">
        <w:rPr>
          <w:sz w:val="18"/>
          <w:szCs w:val="18"/>
        </w:rPr>
        <w:t>APPENDIX A</w:t>
      </w:r>
    </w:p>
    <w:p w14:paraId="1ADAE635" w14:textId="77777777" w:rsidR="00F76366" w:rsidRPr="001077B6" w:rsidRDefault="00F76366" w:rsidP="00F76366">
      <w:pPr>
        <w:tabs>
          <w:tab w:val="center" w:pos="4680"/>
        </w:tabs>
        <w:suppressAutoHyphens/>
        <w:spacing w:after="0"/>
        <w:jc w:val="center"/>
        <w:rPr>
          <w:sz w:val="18"/>
          <w:szCs w:val="18"/>
        </w:rPr>
      </w:pPr>
      <w:r w:rsidRPr="001077B6">
        <w:rPr>
          <w:sz w:val="18"/>
          <w:szCs w:val="18"/>
        </w:rPr>
        <w:t>ACCOUNTING PRINCIPLES COMMITTEE</w:t>
      </w:r>
    </w:p>
    <w:p w14:paraId="5ABE472F" w14:textId="77777777" w:rsidR="00F76366" w:rsidRPr="001077B6" w:rsidRDefault="00F76366" w:rsidP="00F76366">
      <w:pPr>
        <w:tabs>
          <w:tab w:val="center" w:pos="4680"/>
        </w:tabs>
        <w:suppressAutoHyphens/>
        <w:spacing w:after="0"/>
        <w:jc w:val="center"/>
        <w:rPr>
          <w:sz w:val="18"/>
          <w:szCs w:val="18"/>
        </w:rPr>
      </w:pPr>
      <w:r w:rsidRPr="001077B6">
        <w:rPr>
          <w:sz w:val="18"/>
          <w:szCs w:val="18"/>
        </w:rPr>
        <w:t>ORGANIZATION AND OPERATING PROCEDURES</w:t>
      </w:r>
    </w:p>
    <w:p w14:paraId="50BDBE4C" w14:textId="77777777" w:rsidR="00F76366" w:rsidRPr="001077B6" w:rsidRDefault="00F76366" w:rsidP="00F76366">
      <w:pPr>
        <w:tabs>
          <w:tab w:val="center" w:pos="4680"/>
        </w:tabs>
        <w:suppressAutoHyphens/>
        <w:spacing w:after="0"/>
        <w:jc w:val="center"/>
        <w:rPr>
          <w:sz w:val="18"/>
          <w:szCs w:val="18"/>
        </w:rPr>
      </w:pPr>
      <w:r w:rsidRPr="001077B6">
        <w:rPr>
          <w:sz w:val="18"/>
          <w:szCs w:val="18"/>
        </w:rPr>
        <w:t>201</w:t>
      </w:r>
      <w:r>
        <w:rPr>
          <w:sz w:val="18"/>
          <w:szCs w:val="18"/>
        </w:rPr>
        <w:t>7-2018</w:t>
      </w:r>
    </w:p>
    <w:p w14:paraId="1A3A5CDA" w14:textId="77777777" w:rsidR="00F76366" w:rsidRPr="001077B6" w:rsidRDefault="00F76366" w:rsidP="00F76366">
      <w:pPr>
        <w:tabs>
          <w:tab w:val="center" w:pos="4680"/>
        </w:tabs>
        <w:suppressAutoHyphens/>
        <w:spacing w:after="0"/>
        <w:jc w:val="center"/>
        <w:rPr>
          <w:sz w:val="24"/>
          <w:szCs w:val="24"/>
        </w:rPr>
      </w:pPr>
    </w:p>
    <w:p w14:paraId="4C08D89B" w14:textId="77777777" w:rsidR="00F76366" w:rsidRPr="00075D65" w:rsidRDefault="00F76366" w:rsidP="00F76366">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0A6AA21B" w14:textId="77777777" w:rsidR="00F76366" w:rsidRPr="001077B6" w:rsidRDefault="00F76366" w:rsidP="00F76366">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37D99996" w14:textId="77777777" w:rsidR="00F76366" w:rsidRPr="001077B6" w:rsidRDefault="00F76366" w:rsidP="00F76366">
      <w:pPr>
        <w:tabs>
          <w:tab w:val="left" w:pos="-720"/>
        </w:tabs>
        <w:suppressAutoHyphens/>
        <w:spacing w:after="0"/>
        <w:jc w:val="both"/>
        <w:rPr>
          <w:b/>
          <w:spacing w:val="-3"/>
          <w:sz w:val="18"/>
          <w:szCs w:val="18"/>
        </w:rPr>
      </w:pPr>
      <w:r w:rsidRPr="001077B6">
        <w:rPr>
          <w:b/>
          <w:spacing w:val="-3"/>
          <w:sz w:val="18"/>
          <w:szCs w:val="18"/>
        </w:rPr>
        <w:t>Public Accounting Firms:</w:t>
      </w:r>
    </w:p>
    <w:p w14:paraId="31E5D6AD" w14:textId="77777777" w:rsidR="00F76366" w:rsidRPr="001077B6" w:rsidRDefault="00F76366" w:rsidP="00F76366">
      <w:pPr>
        <w:tabs>
          <w:tab w:val="left" w:pos="-720"/>
        </w:tabs>
        <w:suppressAutoHyphens/>
        <w:spacing w:after="0"/>
        <w:jc w:val="both"/>
        <w:rPr>
          <w:b/>
          <w:spacing w:val="-3"/>
          <w:sz w:val="18"/>
          <w:szCs w:val="18"/>
        </w:rPr>
      </w:pPr>
      <w:r>
        <w:rPr>
          <w:b/>
          <w:spacing w:val="-3"/>
          <w:sz w:val="18"/>
          <w:szCs w:val="18"/>
        </w:rPr>
        <w:t xml:space="preserve">   Large: </w:t>
      </w:r>
      <w:r w:rsidRPr="001077B6">
        <w:rPr>
          <w:spacing w:val="-3"/>
          <w:sz w:val="18"/>
          <w:szCs w:val="18"/>
        </w:rPr>
        <w:t>(national &amp; regional)</w:t>
      </w:r>
    </w:p>
    <w:p w14:paraId="596973C0" w14:textId="77777777" w:rsidR="00F76366" w:rsidRDefault="00F76366" w:rsidP="00F76366">
      <w:pPr>
        <w:tabs>
          <w:tab w:val="left" w:pos="-720"/>
          <w:tab w:val="left" w:pos="360"/>
          <w:tab w:val="center" w:pos="4824"/>
        </w:tabs>
        <w:suppressAutoHyphens/>
        <w:spacing w:after="0"/>
        <w:jc w:val="both"/>
        <w:rPr>
          <w:spacing w:val="-3"/>
          <w:sz w:val="18"/>
          <w:szCs w:val="18"/>
        </w:rPr>
      </w:pPr>
      <w:r>
        <w:rPr>
          <w:spacing w:val="-3"/>
          <w:sz w:val="18"/>
          <w:szCs w:val="18"/>
        </w:rPr>
        <w:tab/>
      </w:r>
      <w:r w:rsidRPr="000342DA">
        <w:rPr>
          <w:spacing w:val="-3"/>
          <w:sz w:val="18"/>
          <w:szCs w:val="18"/>
        </w:rPr>
        <w:t>Adam Karac, CPA                                                               Deloitte LLP</w:t>
      </w:r>
    </w:p>
    <w:p w14:paraId="3D8A82D6" w14:textId="77777777" w:rsidR="00F76366" w:rsidRPr="000342DA" w:rsidRDefault="00F76366" w:rsidP="00F76366">
      <w:pPr>
        <w:tabs>
          <w:tab w:val="left" w:pos="-720"/>
          <w:tab w:val="left" w:pos="360"/>
          <w:tab w:val="center" w:pos="4824"/>
        </w:tabs>
        <w:suppressAutoHyphens/>
        <w:spacing w:after="0"/>
        <w:jc w:val="both"/>
        <w:rPr>
          <w:spacing w:val="-3"/>
          <w:sz w:val="18"/>
          <w:szCs w:val="18"/>
        </w:rPr>
      </w:pPr>
      <w:r>
        <w:rPr>
          <w:spacing w:val="-3"/>
          <w:sz w:val="18"/>
          <w:szCs w:val="18"/>
          <w:lang w:val="fr-FR"/>
        </w:rPr>
        <w:t xml:space="preserve">        Timothy Bellazzini, CPA                                                     </w:t>
      </w:r>
      <w:proofErr w:type="spellStart"/>
      <w:r w:rsidRPr="000342DA">
        <w:rPr>
          <w:spacing w:val="-3"/>
          <w:sz w:val="18"/>
          <w:szCs w:val="18"/>
          <w:lang w:val="fr-FR"/>
        </w:rPr>
        <w:t>Sikich</w:t>
      </w:r>
      <w:proofErr w:type="spellEnd"/>
      <w:r w:rsidRPr="000342DA">
        <w:rPr>
          <w:spacing w:val="-3"/>
          <w:sz w:val="18"/>
          <w:szCs w:val="18"/>
          <w:lang w:val="fr-FR"/>
        </w:rPr>
        <w:t xml:space="preserve"> LLP</w:t>
      </w:r>
    </w:p>
    <w:p w14:paraId="05CA2FC6" w14:textId="77777777" w:rsidR="00F76366" w:rsidRDefault="00F76366" w:rsidP="00F76366">
      <w:pPr>
        <w:tabs>
          <w:tab w:val="left" w:pos="-720"/>
          <w:tab w:val="left" w:pos="360"/>
          <w:tab w:val="left" w:pos="4230"/>
          <w:tab w:val="left" w:pos="4320"/>
        </w:tabs>
        <w:suppressAutoHyphens/>
        <w:spacing w:after="0"/>
        <w:jc w:val="both"/>
        <w:rPr>
          <w:spacing w:val="-3"/>
          <w:sz w:val="18"/>
          <w:szCs w:val="18"/>
        </w:rPr>
      </w:pPr>
      <w:r w:rsidRPr="000342DA">
        <w:rPr>
          <w:spacing w:val="-3"/>
          <w:sz w:val="18"/>
          <w:szCs w:val="18"/>
        </w:rPr>
        <w:t xml:space="preserve">        </w:t>
      </w:r>
      <w:r>
        <w:rPr>
          <w:spacing w:val="-3"/>
          <w:sz w:val="18"/>
          <w:szCs w:val="18"/>
        </w:rPr>
        <w:t>Jared Bourgeois, CPA</w:t>
      </w:r>
      <w:r>
        <w:rPr>
          <w:spacing w:val="-3"/>
          <w:sz w:val="18"/>
          <w:szCs w:val="18"/>
        </w:rPr>
        <w:tab/>
      </w:r>
      <w:r>
        <w:rPr>
          <w:spacing w:val="-3"/>
          <w:sz w:val="18"/>
          <w:szCs w:val="18"/>
        </w:rPr>
        <w:tab/>
        <w:t xml:space="preserve">PricewaterhouseCoopers LLP </w:t>
      </w:r>
    </w:p>
    <w:p w14:paraId="38978537" w14:textId="77777777" w:rsidR="00F76366" w:rsidRPr="00137076" w:rsidRDefault="00F76366" w:rsidP="00F76366">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27DE50FE" w14:textId="77777777" w:rsidR="00F76366" w:rsidRDefault="00F76366" w:rsidP="00F76366">
      <w:pPr>
        <w:tabs>
          <w:tab w:val="left" w:pos="-720"/>
          <w:tab w:val="left" w:pos="360"/>
          <w:tab w:val="left" w:pos="540"/>
          <w:tab w:val="left" w:pos="4140"/>
        </w:tabs>
        <w:suppressAutoHyphens/>
        <w:spacing w:after="0"/>
        <w:jc w:val="both"/>
        <w:rPr>
          <w:spacing w:val="-3"/>
          <w:sz w:val="18"/>
          <w:szCs w:val="18"/>
        </w:rPr>
      </w:pPr>
      <w:r>
        <w:rPr>
          <w:spacing w:val="-3"/>
          <w:sz w:val="18"/>
          <w:szCs w:val="18"/>
        </w:rPr>
        <w:tab/>
        <w:t>Jason Eaves, CPA                                                                Crowe Horwath LLP</w:t>
      </w:r>
    </w:p>
    <w:p w14:paraId="16D5FB17" w14:textId="77777777" w:rsidR="00F76366" w:rsidRPr="00137076" w:rsidRDefault="00F76366" w:rsidP="00F76366">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A0E5A87" w14:textId="77777777" w:rsidR="00F76366" w:rsidRDefault="00F76366" w:rsidP="00F76366">
      <w:pPr>
        <w:tabs>
          <w:tab w:val="left" w:pos="-720"/>
          <w:tab w:val="left" w:pos="180"/>
          <w:tab w:val="left" w:pos="4230"/>
        </w:tabs>
        <w:suppressAutoHyphens/>
        <w:spacing w:after="0" w:line="240" w:lineRule="auto"/>
        <w:ind w:left="173"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proofErr w:type="gramStart"/>
      <w:r w:rsidRPr="00137076">
        <w:rPr>
          <w:spacing w:val="-3"/>
          <w:sz w:val="18"/>
          <w:szCs w:val="18"/>
        </w:rPr>
        <w:tab/>
        <w:t xml:space="preserve">  </w:t>
      </w:r>
      <w:r w:rsidRPr="00137076">
        <w:rPr>
          <w:spacing w:val="-3"/>
          <w:sz w:val="18"/>
          <w:szCs w:val="18"/>
        </w:rPr>
        <w:tab/>
      </w:r>
      <w:proofErr w:type="gramEnd"/>
      <w:r w:rsidRPr="00137076">
        <w:rPr>
          <w:spacing w:val="-3"/>
          <w:sz w:val="18"/>
          <w:szCs w:val="18"/>
        </w:rPr>
        <w:t>Crowe Horwath LLP</w:t>
      </w:r>
    </w:p>
    <w:p w14:paraId="03B3B73A" w14:textId="77777777" w:rsidR="00F76366" w:rsidRPr="000342DA" w:rsidRDefault="00F76366" w:rsidP="00F76366">
      <w:pPr>
        <w:tabs>
          <w:tab w:val="left" w:pos="-720"/>
          <w:tab w:val="left" w:pos="180"/>
          <w:tab w:val="left" w:pos="4230"/>
        </w:tabs>
        <w:suppressAutoHyphens/>
        <w:spacing w:after="0" w:line="240" w:lineRule="auto"/>
        <w:ind w:left="173" w:hanging="360"/>
        <w:rPr>
          <w:spacing w:val="-3"/>
          <w:sz w:val="18"/>
          <w:szCs w:val="18"/>
          <w:lang w:val="fr-FR"/>
        </w:rPr>
      </w:pPr>
      <w:r>
        <w:rPr>
          <w:spacing w:val="-3"/>
          <w:sz w:val="18"/>
          <w:szCs w:val="18"/>
        </w:rPr>
        <w:t xml:space="preserve">             </w:t>
      </w:r>
      <w:r w:rsidRPr="000342DA">
        <w:rPr>
          <w:spacing w:val="-3"/>
          <w:sz w:val="18"/>
          <w:szCs w:val="18"/>
          <w:lang w:val="fr-FR"/>
        </w:rPr>
        <w:t>Melissa Lynch, CPA                                                            Plante Moran, PLLC</w:t>
      </w:r>
    </w:p>
    <w:p w14:paraId="2088D8CE" w14:textId="77777777" w:rsidR="00F76366" w:rsidRDefault="00F76366" w:rsidP="00F76366">
      <w:pPr>
        <w:tabs>
          <w:tab w:val="left" w:pos="-720"/>
          <w:tab w:val="left" w:pos="180"/>
          <w:tab w:val="left" w:pos="4230"/>
        </w:tabs>
        <w:suppressAutoHyphens/>
        <w:spacing w:after="0" w:line="240" w:lineRule="auto"/>
        <w:ind w:left="173" w:hanging="360"/>
        <w:rPr>
          <w:spacing w:val="-3"/>
          <w:sz w:val="18"/>
          <w:szCs w:val="18"/>
          <w:lang w:val="fr-FR"/>
        </w:rPr>
      </w:pPr>
      <w:r w:rsidRPr="000342DA">
        <w:rPr>
          <w:spacing w:val="-3"/>
          <w:sz w:val="18"/>
          <w:szCs w:val="18"/>
          <w:lang w:val="fr-FR"/>
        </w:rPr>
        <w:t xml:space="preserve">             Reid Mitchell, CPA</w:t>
      </w:r>
      <w:proofErr w:type="gramStart"/>
      <w:r w:rsidRPr="00770880">
        <w:rPr>
          <w:spacing w:val="-3"/>
          <w:sz w:val="18"/>
          <w:szCs w:val="18"/>
        </w:rPr>
        <w:tab/>
      </w:r>
      <w:r w:rsidRPr="000342DA">
        <w:rPr>
          <w:spacing w:val="-3"/>
          <w:sz w:val="18"/>
          <w:szCs w:val="18"/>
          <w:lang w:val="fr-FR"/>
        </w:rPr>
        <w:t xml:space="preserve">  </w:t>
      </w:r>
      <w:proofErr w:type="spellStart"/>
      <w:r w:rsidRPr="000342DA">
        <w:rPr>
          <w:spacing w:val="-3"/>
          <w:sz w:val="18"/>
          <w:szCs w:val="18"/>
          <w:lang w:val="fr-FR"/>
        </w:rPr>
        <w:t>Wipfli</w:t>
      </w:r>
      <w:proofErr w:type="spellEnd"/>
      <w:proofErr w:type="gramEnd"/>
      <w:r w:rsidRPr="000342DA">
        <w:rPr>
          <w:spacing w:val="-3"/>
          <w:sz w:val="18"/>
          <w:szCs w:val="18"/>
          <w:lang w:val="fr-FR"/>
        </w:rPr>
        <w:t xml:space="preserve"> LLP</w:t>
      </w:r>
    </w:p>
    <w:p w14:paraId="3CF21B2C" w14:textId="77777777" w:rsidR="00F76366" w:rsidRDefault="00F76366" w:rsidP="00F76366">
      <w:pPr>
        <w:tabs>
          <w:tab w:val="left" w:pos="-720"/>
          <w:tab w:val="left" w:pos="180"/>
          <w:tab w:val="left" w:pos="4230"/>
        </w:tabs>
        <w:suppressAutoHyphens/>
        <w:spacing w:after="0" w:line="240" w:lineRule="auto"/>
        <w:ind w:left="173" w:hanging="360"/>
        <w:rPr>
          <w:spacing w:val="-3"/>
          <w:sz w:val="18"/>
          <w:szCs w:val="18"/>
        </w:rPr>
      </w:pPr>
      <w:r>
        <w:rPr>
          <w:spacing w:val="-3"/>
          <w:sz w:val="18"/>
          <w:szCs w:val="18"/>
        </w:rPr>
        <w:t xml:space="preserve">             Matthew Mitzen, CPA</w:t>
      </w:r>
      <w:proofErr w:type="gramStart"/>
      <w:r>
        <w:rPr>
          <w:spacing w:val="-3"/>
          <w:sz w:val="18"/>
          <w:szCs w:val="18"/>
        </w:rPr>
        <w:tab/>
        <w:t xml:space="preserve">  Marcum</w:t>
      </w:r>
      <w:proofErr w:type="gramEnd"/>
      <w:r>
        <w:rPr>
          <w:spacing w:val="-3"/>
          <w:sz w:val="18"/>
          <w:szCs w:val="18"/>
        </w:rPr>
        <w:t xml:space="preserve"> LLP</w:t>
      </w:r>
    </w:p>
    <w:p w14:paraId="2F0933A3" w14:textId="6E96C5EA" w:rsidR="00F76366" w:rsidRPr="000342DA" w:rsidRDefault="00F76366" w:rsidP="00F76366">
      <w:pPr>
        <w:tabs>
          <w:tab w:val="left" w:pos="-720"/>
          <w:tab w:val="left" w:pos="180"/>
          <w:tab w:val="left" w:pos="4230"/>
        </w:tabs>
        <w:suppressAutoHyphens/>
        <w:spacing w:after="0" w:line="240" w:lineRule="auto"/>
        <w:ind w:left="173" w:hanging="360"/>
        <w:rPr>
          <w:spacing w:val="-3"/>
          <w:sz w:val="18"/>
          <w:szCs w:val="18"/>
          <w:lang w:val="fr-FR"/>
        </w:rPr>
      </w:pPr>
      <w:r>
        <w:rPr>
          <w:spacing w:val="-3"/>
          <w:sz w:val="18"/>
          <w:szCs w:val="18"/>
          <w:lang w:val="fr-FR"/>
        </w:rPr>
        <w:t xml:space="preserve">           </w:t>
      </w:r>
      <w:r w:rsidRPr="000342DA">
        <w:rPr>
          <w:spacing w:val="-3"/>
          <w:sz w:val="18"/>
          <w:szCs w:val="18"/>
          <w:lang w:val="fr-FR"/>
        </w:rPr>
        <w:t xml:space="preserve">  Elizabeth Prossnitz, CPA</w:t>
      </w:r>
      <w:r w:rsidRPr="000342DA">
        <w:rPr>
          <w:spacing w:val="-3"/>
          <w:sz w:val="18"/>
          <w:szCs w:val="18"/>
          <w:lang w:val="fr-FR"/>
        </w:rPr>
        <w:tab/>
      </w:r>
      <w:r w:rsidRPr="000342DA">
        <w:rPr>
          <w:spacing w:val="-3"/>
          <w:sz w:val="18"/>
          <w:szCs w:val="18"/>
          <w:lang w:val="fr-FR"/>
        </w:rPr>
        <w:tab/>
        <w:t>BDO USA LLP</w:t>
      </w:r>
      <w:r w:rsidRPr="000342DA">
        <w:rPr>
          <w:spacing w:val="-3"/>
          <w:sz w:val="18"/>
          <w:szCs w:val="18"/>
          <w:lang w:val="fr-FR"/>
        </w:rPr>
        <w:tab/>
      </w:r>
      <w:r w:rsidRPr="000342DA">
        <w:rPr>
          <w:spacing w:val="-3"/>
          <w:sz w:val="18"/>
          <w:szCs w:val="18"/>
          <w:lang w:val="fr-FR"/>
        </w:rPr>
        <w:br/>
      </w:r>
      <w:proofErr w:type="gramStart"/>
      <w:r w:rsidRPr="00770880">
        <w:rPr>
          <w:b/>
          <w:spacing w:val="-3"/>
          <w:sz w:val="18"/>
          <w:szCs w:val="18"/>
          <w:lang w:val="fr-FR"/>
        </w:rPr>
        <w:t>Medium</w:t>
      </w:r>
      <w:r>
        <w:rPr>
          <w:b/>
          <w:spacing w:val="-3"/>
          <w:sz w:val="18"/>
          <w:szCs w:val="18"/>
          <w:lang w:val="fr-FR"/>
        </w:rPr>
        <w:t>:</w:t>
      </w:r>
      <w:proofErr w:type="gramEnd"/>
      <w:r w:rsidRPr="000342DA">
        <w:rPr>
          <w:b/>
          <w:spacing w:val="-3"/>
          <w:sz w:val="18"/>
          <w:szCs w:val="18"/>
          <w:lang w:val="fr-FR"/>
        </w:rPr>
        <w:t xml:space="preserve"> </w:t>
      </w:r>
      <w:r w:rsidRPr="000342DA">
        <w:rPr>
          <w:spacing w:val="-3"/>
          <w:sz w:val="18"/>
          <w:szCs w:val="18"/>
          <w:lang w:val="fr-FR"/>
        </w:rPr>
        <w:t xml:space="preserve">(more </w:t>
      </w:r>
      <w:proofErr w:type="spellStart"/>
      <w:r w:rsidRPr="000342DA">
        <w:rPr>
          <w:spacing w:val="-3"/>
          <w:sz w:val="18"/>
          <w:szCs w:val="18"/>
          <w:lang w:val="fr-FR"/>
        </w:rPr>
        <w:t>than</w:t>
      </w:r>
      <w:proofErr w:type="spellEnd"/>
      <w:r w:rsidRPr="000342DA">
        <w:rPr>
          <w:spacing w:val="-3"/>
          <w:sz w:val="18"/>
          <w:szCs w:val="18"/>
          <w:lang w:val="fr-FR"/>
        </w:rPr>
        <w:t xml:space="preserve"> 40 </w:t>
      </w:r>
      <w:r w:rsidRPr="00770880">
        <w:rPr>
          <w:spacing w:val="-3"/>
          <w:sz w:val="18"/>
          <w:szCs w:val="18"/>
        </w:rPr>
        <w:t>professionals</w:t>
      </w:r>
      <w:r w:rsidRPr="000342DA">
        <w:rPr>
          <w:spacing w:val="-3"/>
          <w:sz w:val="18"/>
          <w:szCs w:val="18"/>
          <w:lang w:val="fr-FR"/>
        </w:rPr>
        <w:t>)</w:t>
      </w:r>
      <w:r w:rsidRPr="000342DA">
        <w:rPr>
          <w:spacing w:val="-3"/>
          <w:sz w:val="18"/>
          <w:szCs w:val="18"/>
          <w:lang w:val="fr-FR"/>
        </w:rPr>
        <w:br/>
        <w:t xml:space="preserve">     Almira Goethe, CPA                           </w:t>
      </w:r>
      <w:r>
        <w:rPr>
          <w:spacing w:val="-3"/>
          <w:sz w:val="18"/>
          <w:szCs w:val="18"/>
          <w:lang w:val="fr-FR"/>
        </w:rPr>
        <w:t xml:space="preserve">                                </w:t>
      </w:r>
      <w:r w:rsidRPr="000342DA">
        <w:rPr>
          <w:spacing w:val="-3"/>
          <w:sz w:val="18"/>
          <w:szCs w:val="18"/>
          <w:lang w:val="fr-FR"/>
        </w:rPr>
        <w:t>CDH, PC</w:t>
      </w:r>
    </w:p>
    <w:p w14:paraId="0F0EC717" w14:textId="7C59C077" w:rsidR="00F76366" w:rsidRDefault="00F76366" w:rsidP="00F76366">
      <w:pPr>
        <w:tabs>
          <w:tab w:val="left" w:pos="-720"/>
          <w:tab w:val="left" w:pos="180"/>
          <w:tab w:val="left" w:pos="4230"/>
        </w:tabs>
        <w:suppressAutoHyphens/>
        <w:spacing w:after="0" w:line="240" w:lineRule="auto"/>
        <w:ind w:left="173" w:hanging="360"/>
        <w:rPr>
          <w:spacing w:val="-3"/>
          <w:sz w:val="18"/>
          <w:szCs w:val="18"/>
        </w:rPr>
      </w:pPr>
      <w:r>
        <w:rPr>
          <w:spacing w:val="-3"/>
          <w:sz w:val="18"/>
          <w:szCs w:val="18"/>
          <w:lang w:val="fr-FR"/>
        </w:rPr>
        <w:t xml:space="preserve">              </w:t>
      </w:r>
      <w:r w:rsidRPr="00137076">
        <w:rPr>
          <w:spacing w:val="-3"/>
          <w:sz w:val="18"/>
          <w:szCs w:val="18"/>
        </w:rPr>
        <w:t>Michael Kidd, CPA</w:t>
      </w:r>
      <w:r w:rsidRPr="00137076">
        <w:rPr>
          <w:spacing w:val="-3"/>
          <w:sz w:val="18"/>
          <w:szCs w:val="18"/>
        </w:rPr>
        <w:tab/>
      </w:r>
      <w:r w:rsidRPr="00137076">
        <w:rPr>
          <w:spacing w:val="-3"/>
          <w:sz w:val="18"/>
          <w:szCs w:val="18"/>
        </w:rPr>
        <w:tab/>
        <w:t>Mowery &amp; Schoenfeld LLC</w:t>
      </w:r>
    </w:p>
    <w:p w14:paraId="44F86CC9" w14:textId="77777777" w:rsidR="00F76366" w:rsidRDefault="00F76366" w:rsidP="00F76366">
      <w:pPr>
        <w:tabs>
          <w:tab w:val="left" w:pos="-720"/>
          <w:tab w:val="left" w:pos="180"/>
          <w:tab w:val="left" w:pos="4230"/>
        </w:tabs>
        <w:suppressAutoHyphens/>
        <w:spacing w:after="0" w:line="240" w:lineRule="auto"/>
        <w:ind w:left="173" w:hanging="360"/>
        <w:rPr>
          <w:sz w:val="18"/>
          <w:szCs w:val="18"/>
        </w:rPr>
      </w:pPr>
      <w:r>
        <w:rPr>
          <w:spacing w:val="-3"/>
          <w:sz w:val="18"/>
          <w:szCs w:val="18"/>
        </w:rPr>
        <w:t xml:space="preserve">              Danielle Martin, CPA</w:t>
      </w:r>
      <w:r>
        <w:rPr>
          <w:spacing w:val="-3"/>
          <w:sz w:val="18"/>
          <w:szCs w:val="18"/>
        </w:rPr>
        <w:tab/>
      </w:r>
      <w:r>
        <w:rPr>
          <w:spacing w:val="-3"/>
          <w:sz w:val="18"/>
          <w:szCs w:val="18"/>
        </w:rPr>
        <w:tab/>
        <w:t>Porte Brown LLC</w:t>
      </w:r>
      <w:r>
        <w:rPr>
          <w:spacing w:val="-3"/>
          <w:sz w:val="18"/>
          <w:szCs w:val="18"/>
        </w:rPr>
        <w:br/>
        <w:t xml:space="preserve">     Iryna Prokhorov, CPA                                                         Mueller &amp; Company, LLP  </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r>
      <w:proofErr w:type="spellStart"/>
      <w:r w:rsidRPr="00137076">
        <w:rPr>
          <w:spacing w:val="-3"/>
          <w:sz w:val="18"/>
          <w:szCs w:val="18"/>
        </w:rPr>
        <w:t>Bronswick</w:t>
      </w:r>
      <w:proofErr w:type="spellEnd"/>
      <w:r w:rsidRPr="00137076">
        <w:rPr>
          <w:spacing w:val="-3"/>
          <w:sz w:val="18"/>
          <w:szCs w:val="18"/>
        </w:rPr>
        <w:t xml:space="preserve">,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Joshua </w:t>
      </w:r>
      <w:r w:rsidRPr="00137076">
        <w:rPr>
          <w:spacing w:val="-3"/>
          <w:sz w:val="18"/>
          <w:szCs w:val="18"/>
        </w:rPr>
        <w:t>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0972340A" w14:textId="77777777" w:rsidR="00F76366" w:rsidRPr="00137076" w:rsidRDefault="00F76366" w:rsidP="00F76366">
      <w:pPr>
        <w:tabs>
          <w:tab w:val="left" w:pos="-720"/>
          <w:tab w:val="left" w:pos="180"/>
          <w:tab w:val="left" w:pos="4230"/>
        </w:tabs>
        <w:suppressAutoHyphens/>
        <w:spacing w:after="0" w:line="240" w:lineRule="auto"/>
        <w:ind w:left="173" w:hanging="360"/>
        <w:rPr>
          <w:spacing w:val="-3"/>
          <w:sz w:val="18"/>
          <w:szCs w:val="18"/>
        </w:rPr>
      </w:pPr>
    </w:p>
    <w:p w14:paraId="7D430F03" w14:textId="77777777" w:rsidR="00F76366" w:rsidRDefault="00F76366" w:rsidP="00F76366">
      <w:pPr>
        <w:tabs>
          <w:tab w:val="left" w:pos="-720"/>
        </w:tabs>
        <w:suppressAutoHyphens/>
        <w:spacing w:after="0"/>
        <w:jc w:val="both"/>
        <w:rPr>
          <w:b/>
          <w:spacing w:val="-3"/>
          <w:sz w:val="18"/>
          <w:szCs w:val="18"/>
        </w:rPr>
      </w:pPr>
      <w:r>
        <w:rPr>
          <w:b/>
          <w:spacing w:val="-3"/>
          <w:sz w:val="18"/>
          <w:szCs w:val="18"/>
        </w:rPr>
        <w:t>Educators:</w:t>
      </w:r>
    </w:p>
    <w:p w14:paraId="10A3ECD0" w14:textId="77777777" w:rsidR="00F76366" w:rsidRPr="00137076" w:rsidRDefault="00F76366" w:rsidP="00F76366">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7BC0B1D0" w14:textId="77777777" w:rsidR="00F76366" w:rsidRDefault="00F76366" w:rsidP="00F76366">
      <w:pPr>
        <w:tabs>
          <w:tab w:val="left" w:pos="-720"/>
        </w:tabs>
        <w:suppressAutoHyphens/>
        <w:spacing w:after="0"/>
        <w:jc w:val="both"/>
        <w:rPr>
          <w:b/>
          <w:spacing w:val="-3"/>
          <w:sz w:val="18"/>
          <w:szCs w:val="18"/>
        </w:rPr>
      </w:pPr>
    </w:p>
    <w:p w14:paraId="2A7278FE" w14:textId="77777777" w:rsidR="00F76366" w:rsidRPr="00137076" w:rsidRDefault="00F76366" w:rsidP="00F76366">
      <w:pPr>
        <w:tabs>
          <w:tab w:val="left" w:pos="-720"/>
        </w:tabs>
        <w:suppressAutoHyphens/>
        <w:spacing w:after="0"/>
        <w:jc w:val="both"/>
        <w:rPr>
          <w:b/>
          <w:spacing w:val="-3"/>
          <w:sz w:val="18"/>
          <w:szCs w:val="18"/>
        </w:rPr>
      </w:pPr>
      <w:r w:rsidRPr="00137076">
        <w:rPr>
          <w:b/>
          <w:spacing w:val="-3"/>
          <w:sz w:val="18"/>
          <w:szCs w:val="18"/>
        </w:rPr>
        <w:t>Industry:</w:t>
      </w:r>
    </w:p>
    <w:p w14:paraId="049868A4" w14:textId="77777777" w:rsidR="00F76366" w:rsidRDefault="00F76366" w:rsidP="00F76366">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65F3102D" w14:textId="77777777" w:rsidR="00F76366" w:rsidRPr="00137076" w:rsidRDefault="00F76366" w:rsidP="00F76366">
      <w:pPr>
        <w:tabs>
          <w:tab w:val="left" w:pos="-720"/>
          <w:tab w:val="left" w:pos="360"/>
          <w:tab w:val="left" w:pos="4140"/>
          <w:tab w:val="left" w:pos="4230"/>
        </w:tabs>
        <w:suppressAutoHyphens/>
        <w:spacing w:after="0"/>
        <w:jc w:val="both"/>
        <w:rPr>
          <w:spacing w:val="-3"/>
          <w:sz w:val="18"/>
          <w:szCs w:val="18"/>
        </w:rPr>
      </w:pPr>
      <w:r>
        <w:rPr>
          <w:spacing w:val="-3"/>
          <w:sz w:val="18"/>
          <w:szCs w:val="18"/>
        </w:rPr>
        <w:t xml:space="preserve">         Jason Crider, CPA                                                               Molto Properties LLC</w:t>
      </w:r>
    </w:p>
    <w:p w14:paraId="38C07BD2" w14:textId="77777777" w:rsidR="00F76366" w:rsidRDefault="00F76366" w:rsidP="00F76366">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Consultant</w:t>
      </w:r>
    </w:p>
    <w:p w14:paraId="4B5AE93A" w14:textId="77777777" w:rsidR="00F76366" w:rsidRPr="00137076" w:rsidRDefault="00F76366" w:rsidP="00F76366">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79B229E9" w14:textId="77777777" w:rsidR="00F76366" w:rsidRDefault="00F76366" w:rsidP="00F76366">
      <w:pPr>
        <w:spacing w:after="0"/>
        <w:ind w:left="360"/>
        <w:rPr>
          <w:spacing w:val="-3"/>
          <w:sz w:val="18"/>
          <w:szCs w:val="18"/>
        </w:rPr>
      </w:pPr>
      <w:r>
        <w:rPr>
          <w:spacing w:val="-3"/>
          <w:sz w:val="18"/>
          <w:szCs w:val="18"/>
          <w:lang w:val="fr-FR"/>
        </w:rPr>
        <w:t xml:space="preserve">Marianne </w:t>
      </w:r>
      <w:r w:rsidRPr="00073C77">
        <w:rPr>
          <w:spacing w:val="-3"/>
          <w:sz w:val="18"/>
          <w:szCs w:val="18"/>
          <w:lang w:val="fr-FR"/>
        </w:rPr>
        <w:t>Lorenz, CPA</w:t>
      </w:r>
      <w:r w:rsidRPr="00073C77">
        <w:rPr>
          <w:spacing w:val="-3"/>
          <w:sz w:val="18"/>
          <w:szCs w:val="18"/>
          <w:lang w:val="fr-FR"/>
        </w:rPr>
        <w:tab/>
      </w:r>
      <w:r w:rsidRPr="00073C77">
        <w:rPr>
          <w:spacing w:val="-3"/>
          <w:sz w:val="18"/>
          <w:szCs w:val="18"/>
          <w:lang w:val="fr-FR"/>
        </w:rPr>
        <w:tab/>
        <w:t xml:space="preserve">               </w:t>
      </w:r>
      <w:r w:rsidRPr="00073C77">
        <w:rPr>
          <w:spacing w:val="-3"/>
          <w:sz w:val="18"/>
          <w:szCs w:val="18"/>
          <w:lang w:val="fr-FR"/>
        </w:rPr>
        <w:tab/>
        <w:t xml:space="preserve">               </w:t>
      </w:r>
      <w:r w:rsidRPr="00073C77">
        <w:rPr>
          <w:spacing w:val="-3"/>
          <w:sz w:val="18"/>
          <w:szCs w:val="18"/>
          <w:lang w:val="fr-FR"/>
        </w:rPr>
        <w:tab/>
        <w:t xml:space="preserve">AGL </w:t>
      </w:r>
      <w:proofErr w:type="spellStart"/>
      <w:r w:rsidRPr="00770880">
        <w:rPr>
          <w:spacing w:val="-3"/>
          <w:sz w:val="18"/>
          <w:szCs w:val="18"/>
          <w:lang w:val="fr-FR"/>
        </w:rPr>
        <w:t>Resources</w:t>
      </w:r>
      <w:proofErr w:type="spellEnd"/>
      <w:r w:rsidRPr="00073C77">
        <w:rPr>
          <w:spacing w:val="-3"/>
          <w:sz w:val="18"/>
          <w:szCs w:val="18"/>
          <w:lang w:val="fr-FR"/>
        </w:rPr>
        <w:t xml:space="preserve"> Inc.</w:t>
      </w:r>
      <w:r w:rsidRPr="00073C77">
        <w:rPr>
          <w:spacing w:val="-3"/>
          <w:sz w:val="18"/>
          <w:szCs w:val="18"/>
          <w:lang w:val="fr-FR"/>
        </w:rPr>
        <w:br/>
      </w:r>
      <w:r>
        <w:rPr>
          <w:spacing w:val="-3"/>
          <w:sz w:val="18"/>
          <w:szCs w:val="18"/>
        </w:rPr>
        <w:t xml:space="preserve">Michael </w:t>
      </w:r>
      <w:r w:rsidRPr="00137076">
        <w:rPr>
          <w:spacing w:val="-3"/>
          <w:sz w:val="18"/>
          <w:szCs w:val="18"/>
        </w:rPr>
        <w:t>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p>
    <w:p w14:paraId="42FED9AA" w14:textId="77777777" w:rsidR="00F76366" w:rsidRPr="00137076" w:rsidRDefault="00F76366" w:rsidP="00F76366">
      <w:pPr>
        <w:spacing w:after="0"/>
        <w:ind w:left="360"/>
        <w:rPr>
          <w:spacing w:val="-3"/>
          <w:sz w:val="18"/>
          <w:szCs w:val="18"/>
        </w:rPr>
      </w:pPr>
      <w:r>
        <w:rPr>
          <w:spacing w:val="-3"/>
          <w:sz w:val="18"/>
          <w:szCs w:val="18"/>
        </w:rPr>
        <w:t>Lawrence Mocadlo, CPA                                                    Ingersoll Machine Tools</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45F118B6" w14:textId="77777777" w:rsidR="00F76366" w:rsidRDefault="00F76366" w:rsidP="00F76366">
      <w:pPr>
        <w:tabs>
          <w:tab w:val="left" w:pos="360"/>
          <w:tab w:val="left" w:pos="4230"/>
        </w:tabs>
        <w:spacing w:after="0"/>
        <w:rPr>
          <w:b/>
          <w:sz w:val="18"/>
          <w:szCs w:val="18"/>
        </w:rPr>
      </w:pPr>
    </w:p>
    <w:p w14:paraId="4D4DE2AC" w14:textId="77777777" w:rsidR="00F76366" w:rsidRPr="00137076" w:rsidRDefault="00F76366" w:rsidP="00F76366">
      <w:pPr>
        <w:tabs>
          <w:tab w:val="left" w:pos="360"/>
          <w:tab w:val="left" w:pos="4230"/>
        </w:tabs>
        <w:spacing w:after="0"/>
        <w:rPr>
          <w:b/>
          <w:sz w:val="18"/>
          <w:szCs w:val="18"/>
        </w:rPr>
      </w:pPr>
      <w:r w:rsidRPr="00137076">
        <w:rPr>
          <w:b/>
          <w:sz w:val="18"/>
          <w:szCs w:val="18"/>
        </w:rPr>
        <w:t>Staff Representative:</w:t>
      </w:r>
    </w:p>
    <w:p w14:paraId="3FFDB12F" w14:textId="77777777" w:rsidR="00F76366" w:rsidRPr="00B36A5E" w:rsidRDefault="00F76366" w:rsidP="00F76366">
      <w:pPr>
        <w:spacing w:after="0"/>
      </w:pPr>
      <w:r w:rsidRPr="00137076">
        <w:rPr>
          <w:sz w:val="18"/>
          <w:szCs w:val="18"/>
        </w:rPr>
        <w:t xml:space="preserve">   </w:t>
      </w:r>
      <w:r>
        <w:rPr>
          <w:sz w:val="18"/>
          <w:szCs w:val="18"/>
        </w:rPr>
        <w:t xml:space="preserve">     Rafael Wiesenberg, CPA</w:t>
      </w:r>
      <w:r>
        <w:rPr>
          <w:sz w:val="18"/>
          <w:szCs w:val="18"/>
        </w:rPr>
        <w:tab/>
      </w:r>
      <w:r>
        <w:rPr>
          <w:sz w:val="18"/>
          <w:szCs w:val="18"/>
        </w:rPr>
        <w:tab/>
      </w:r>
      <w:r>
        <w:rPr>
          <w:sz w:val="18"/>
          <w:szCs w:val="18"/>
        </w:rPr>
        <w:tab/>
      </w:r>
      <w:r w:rsidRPr="00137076">
        <w:rPr>
          <w:sz w:val="18"/>
          <w:szCs w:val="18"/>
        </w:rPr>
        <w:t>Illinois CPA Society</w:t>
      </w:r>
    </w:p>
    <w:p w14:paraId="590E6867" w14:textId="77777777" w:rsidR="00A82D39" w:rsidRDefault="00A82D39" w:rsidP="008A791F">
      <w:pPr>
        <w:jc w:val="center"/>
        <w:rPr>
          <w:sz w:val="18"/>
          <w:szCs w:val="18"/>
        </w:rPr>
      </w:pPr>
    </w:p>
    <w:sectPr w:rsidR="00A82D39" w:rsidSect="000C139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CF05" w14:textId="77777777" w:rsidR="002B686F" w:rsidRDefault="002B686F" w:rsidP="00C07D21">
      <w:pPr>
        <w:spacing w:after="0" w:line="240" w:lineRule="auto"/>
      </w:pPr>
      <w:r>
        <w:separator/>
      </w:r>
    </w:p>
  </w:endnote>
  <w:endnote w:type="continuationSeparator" w:id="0">
    <w:p w14:paraId="2F69AFF8" w14:textId="77777777" w:rsidR="002B686F" w:rsidRDefault="002B686F"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3793"/>
      <w:docPartObj>
        <w:docPartGallery w:val="Page Numbers (Bottom of Page)"/>
        <w:docPartUnique/>
      </w:docPartObj>
    </w:sdtPr>
    <w:sdtEndPr>
      <w:rPr>
        <w:noProof/>
      </w:rPr>
    </w:sdtEndPr>
    <w:sdtContent>
      <w:p w14:paraId="79E353B1" w14:textId="6C127918" w:rsidR="001B3F79" w:rsidRDefault="001B3F79">
        <w:pPr>
          <w:pStyle w:val="Footer"/>
          <w:jc w:val="center"/>
        </w:pPr>
        <w:r>
          <w:fldChar w:fldCharType="begin"/>
        </w:r>
        <w:r>
          <w:instrText xml:space="preserve"> PAGE   \* MERGEFORMAT </w:instrText>
        </w:r>
        <w:r>
          <w:fldChar w:fldCharType="separate"/>
        </w:r>
        <w:r w:rsidR="003E6D96">
          <w:rPr>
            <w:noProof/>
          </w:rPr>
          <w:t>6</w:t>
        </w:r>
        <w:r>
          <w:rPr>
            <w:noProof/>
          </w:rPr>
          <w:fldChar w:fldCharType="end"/>
        </w:r>
      </w:p>
    </w:sdtContent>
  </w:sdt>
  <w:p w14:paraId="210EB5F9" w14:textId="77777777" w:rsidR="001B3F79" w:rsidRDefault="001B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3E32" w14:textId="77777777" w:rsidR="002B686F" w:rsidRDefault="002B686F" w:rsidP="00C07D21">
      <w:pPr>
        <w:spacing w:after="0" w:line="240" w:lineRule="auto"/>
      </w:pPr>
      <w:r>
        <w:separator/>
      </w:r>
    </w:p>
  </w:footnote>
  <w:footnote w:type="continuationSeparator" w:id="0">
    <w:p w14:paraId="271DE36A" w14:textId="77777777" w:rsidR="002B686F" w:rsidRDefault="002B686F"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19F9" w14:textId="77777777" w:rsidR="001B3F79" w:rsidRDefault="001B3F79" w:rsidP="006429B1">
    <w:pPr>
      <w:pStyle w:val="Header"/>
      <w:jc w:val="center"/>
    </w:pPr>
    <w:r>
      <w:rPr>
        <w:noProof/>
      </w:rPr>
      <w:drawing>
        <wp:inline distT="0" distB="0" distL="0" distR="0" wp14:anchorId="38149BBE" wp14:editId="09A79FEB">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6B29" w14:textId="77777777" w:rsidR="001B3F79" w:rsidRDefault="001B3F79"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1"/>
    <w:rsid w:val="00002C0D"/>
    <w:rsid w:val="00004376"/>
    <w:rsid w:val="0000540A"/>
    <w:rsid w:val="00006FBB"/>
    <w:rsid w:val="00007C01"/>
    <w:rsid w:val="000142EA"/>
    <w:rsid w:val="00015F5C"/>
    <w:rsid w:val="000165D5"/>
    <w:rsid w:val="000205C5"/>
    <w:rsid w:val="00030982"/>
    <w:rsid w:val="00033CA4"/>
    <w:rsid w:val="000355AD"/>
    <w:rsid w:val="000357B3"/>
    <w:rsid w:val="00036742"/>
    <w:rsid w:val="000369D7"/>
    <w:rsid w:val="000425EA"/>
    <w:rsid w:val="000428D9"/>
    <w:rsid w:val="00042A30"/>
    <w:rsid w:val="00050D70"/>
    <w:rsid w:val="00052BC9"/>
    <w:rsid w:val="0005517D"/>
    <w:rsid w:val="00060B2D"/>
    <w:rsid w:val="000669A0"/>
    <w:rsid w:val="0007216B"/>
    <w:rsid w:val="00073542"/>
    <w:rsid w:val="00076F8E"/>
    <w:rsid w:val="00082A58"/>
    <w:rsid w:val="00082B02"/>
    <w:rsid w:val="0008440F"/>
    <w:rsid w:val="00085888"/>
    <w:rsid w:val="0009050E"/>
    <w:rsid w:val="000933FE"/>
    <w:rsid w:val="000A093C"/>
    <w:rsid w:val="000A20B1"/>
    <w:rsid w:val="000A3FA9"/>
    <w:rsid w:val="000A44F0"/>
    <w:rsid w:val="000A5BCF"/>
    <w:rsid w:val="000A6B72"/>
    <w:rsid w:val="000B4451"/>
    <w:rsid w:val="000C1399"/>
    <w:rsid w:val="000C3AD7"/>
    <w:rsid w:val="000D2287"/>
    <w:rsid w:val="000D2962"/>
    <w:rsid w:val="000D47BE"/>
    <w:rsid w:val="000D4CFC"/>
    <w:rsid w:val="000D7B0D"/>
    <w:rsid w:val="000E3CD4"/>
    <w:rsid w:val="000E55EB"/>
    <w:rsid w:val="000E6AA7"/>
    <w:rsid w:val="000F0804"/>
    <w:rsid w:val="000F7F99"/>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0126"/>
    <w:rsid w:val="00171283"/>
    <w:rsid w:val="00171936"/>
    <w:rsid w:val="00171AE3"/>
    <w:rsid w:val="00174285"/>
    <w:rsid w:val="00176186"/>
    <w:rsid w:val="001832B0"/>
    <w:rsid w:val="001860C0"/>
    <w:rsid w:val="001864B1"/>
    <w:rsid w:val="00186D38"/>
    <w:rsid w:val="001932CA"/>
    <w:rsid w:val="00194472"/>
    <w:rsid w:val="001A02E7"/>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1F26CC"/>
    <w:rsid w:val="00205CF6"/>
    <w:rsid w:val="00210D3B"/>
    <w:rsid w:val="00213866"/>
    <w:rsid w:val="00214696"/>
    <w:rsid w:val="00216DA8"/>
    <w:rsid w:val="00217C14"/>
    <w:rsid w:val="00227C4F"/>
    <w:rsid w:val="00230273"/>
    <w:rsid w:val="00234EB5"/>
    <w:rsid w:val="002377DA"/>
    <w:rsid w:val="0024269F"/>
    <w:rsid w:val="002437EC"/>
    <w:rsid w:val="0024624C"/>
    <w:rsid w:val="00246E3D"/>
    <w:rsid w:val="002537CF"/>
    <w:rsid w:val="00254FFE"/>
    <w:rsid w:val="002631AA"/>
    <w:rsid w:val="0026355B"/>
    <w:rsid w:val="00265659"/>
    <w:rsid w:val="00265C19"/>
    <w:rsid w:val="00267ACA"/>
    <w:rsid w:val="00270D5D"/>
    <w:rsid w:val="002807D0"/>
    <w:rsid w:val="002825B4"/>
    <w:rsid w:val="002853F7"/>
    <w:rsid w:val="00285F1C"/>
    <w:rsid w:val="00291411"/>
    <w:rsid w:val="00291510"/>
    <w:rsid w:val="00292017"/>
    <w:rsid w:val="00294DC8"/>
    <w:rsid w:val="00294F5A"/>
    <w:rsid w:val="00296D5A"/>
    <w:rsid w:val="00297FAC"/>
    <w:rsid w:val="002A0322"/>
    <w:rsid w:val="002A0976"/>
    <w:rsid w:val="002A29B2"/>
    <w:rsid w:val="002A2A66"/>
    <w:rsid w:val="002A57B5"/>
    <w:rsid w:val="002A6821"/>
    <w:rsid w:val="002A7DE1"/>
    <w:rsid w:val="002B1447"/>
    <w:rsid w:val="002B3F2F"/>
    <w:rsid w:val="002B686F"/>
    <w:rsid w:val="002B725D"/>
    <w:rsid w:val="002C0FD7"/>
    <w:rsid w:val="002C1FB8"/>
    <w:rsid w:val="002C4712"/>
    <w:rsid w:val="002C4993"/>
    <w:rsid w:val="002C5D0E"/>
    <w:rsid w:val="002C5F65"/>
    <w:rsid w:val="002C690C"/>
    <w:rsid w:val="002D5740"/>
    <w:rsid w:val="002D74CA"/>
    <w:rsid w:val="002D7F15"/>
    <w:rsid w:val="002E285D"/>
    <w:rsid w:val="002E70AB"/>
    <w:rsid w:val="002F1C78"/>
    <w:rsid w:val="002F4DA8"/>
    <w:rsid w:val="002F57E5"/>
    <w:rsid w:val="002F640C"/>
    <w:rsid w:val="002F69AD"/>
    <w:rsid w:val="0030193A"/>
    <w:rsid w:val="00303381"/>
    <w:rsid w:val="003033B8"/>
    <w:rsid w:val="0030432E"/>
    <w:rsid w:val="003065C7"/>
    <w:rsid w:val="003144A1"/>
    <w:rsid w:val="00315FBB"/>
    <w:rsid w:val="00316CB2"/>
    <w:rsid w:val="00320473"/>
    <w:rsid w:val="00321BBD"/>
    <w:rsid w:val="00341352"/>
    <w:rsid w:val="00341D0A"/>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A0467"/>
    <w:rsid w:val="003A07AE"/>
    <w:rsid w:val="003A53E2"/>
    <w:rsid w:val="003A7E3A"/>
    <w:rsid w:val="003C0300"/>
    <w:rsid w:val="003C071F"/>
    <w:rsid w:val="003C568A"/>
    <w:rsid w:val="003C774E"/>
    <w:rsid w:val="003C7BD9"/>
    <w:rsid w:val="003D2B85"/>
    <w:rsid w:val="003D4BFC"/>
    <w:rsid w:val="003E6D96"/>
    <w:rsid w:val="003F17CA"/>
    <w:rsid w:val="003F2057"/>
    <w:rsid w:val="003F2DB1"/>
    <w:rsid w:val="003F3CCF"/>
    <w:rsid w:val="003F63B5"/>
    <w:rsid w:val="004007E7"/>
    <w:rsid w:val="00403D79"/>
    <w:rsid w:val="00407C2F"/>
    <w:rsid w:val="00415EC8"/>
    <w:rsid w:val="0041714B"/>
    <w:rsid w:val="004218FF"/>
    <w:rsid w:val="00425ACC"/>
    <w:rsid w:val="0043764D"/>
    <w:rsid w:val="00437DC4"/>
    <w:rsid w:val="00440186"/>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0380"/>
    <w:rsid w:val="004A2D3A"/>
    <w:rsid w:val="004A614C"/>
    <w:rsid w:val="004B24F6"/>
    <w:rsid w:val="004B52D3"/>
    <w:rsid w:val="004C1A16"/>
    <w:rsid w:val="004C2DCA"/>
    <w:rsid w:val="004C3681"/>
    <w:rsid w:val="004C7977"/>
    <w:rsid w:val="004C7C02"/>
    <w:rsid w:val="004D0B2F"/>
    <w:rsid w:val="004D1C90"/>
    <w:rsid w:val="004D3643"/>
    <w:rsid w:val="004D587C"/>
    <w:rsid w:val="004D6862"/>
    <w:rsid w:val="004D7F3E"/>
    <w:rsid w:val="004E2126"/>
    <w:rsid w:val="004E2E28"/>
    <w:rsid w:val="004E4BAA"/>
    <w:rsid w:val="004E4E3E"/>
    <w:rsid w:val="004E7B18"/>
    <w:rsid w:val="00503B6B"/>
    <w:rsid w:val="005069E0"/>
    <w:rsid w:val="00512916"/>
    <w:rsid w:val="00515C4D"/>
    <w:rsid w:val="00517FA2"/>
    <w:rsid w:val="005226CD"/>
    <w:rsid w:val="005229F1"/>
    <w:rsid w:val="00522CA3"/>
    <w:rsid w:val="00523330"/>
    <w:rsid w:val="005251D7"/>
    <w:rsid w:val="00526D3A"/>
    <w:rsid w:val="00543E5E"/>
    <w:rsid w:val="00553D03"/>
    <w:rsid w:val="00554979"/>
    <w:rsid w:val="00556943"/>
    <w:rsid w:val="00565C7C"/>
    <w:rsid w:val="00572D60"/>
    <w:rsid w:val="00572F95"/>
    <w:rsid w:val="0057628A"/>
    <w:rsid w:val="0058019E"/>
    <w:rsid w:val="00580524"/>
    <w:rsid w:val="00582667"/>
    <w:rsid w:val="00590E71"/>
    <w:rsid w:val="00593157"/>
    <w:rsid w:val="00594184"/>
    <w:rsid w:val="00594BD8"/>
    <w:rsid w:val="00595E2C"/>
    <w:rsid w:val="005969E2"/>
    <w:rsid w:val="005A168C"/>
    <w:rsid w:val="005B06BF"/>
    <w:rsid w:val="005B2447"/>
    <w:rsid w:val="005B5BDF"/>
    <w:rsid w:val="005B695E"/>
    <w:rsid w:val="005C148C"/>
    <w:rsid w:val="005C2DB4"/>
    <w:rsid w:val="005C629B"/>
    <w:rsid w:val="005C74AA"/>
    <w:rsid w:val="005D0E47"/>
    <w:rsid w:val="005D1F31"/>
    <w:rsid w:val="005D3892"/>
    <w:rsid w:val="005D6CBB"/>
    <w:rsid w:val="005D7AD3"/>
    <w:rsid w:val="005E0C54"/>
    <w:rsid w:val="005E2667"/>
    <w:rsid w:val="005F25C8"/>
    <w:rsid w:val="005F3210"/>
    <w:rsid w:val="005F434F"/>
    <w:rsid w:val="00600552"/>
    <w:rsid w:val="006063A7"/>
    <w:rsid w:val="00607BE2"/>
    <w:rsid w:val="006107EA"/>
    <w:rsid w:val="00621795"/>
    <w:rsid w:val="00623199"/>
    <w:rsid w:val="00623CDA"/>
    <w:rsid w:val="00631F9E"/>
    <w:rsid w:val="00633DD6"/>
    <w:rsid w:val="006429B1"/>
    <w:rsid w:val="006466A3"/>
    <w:rsid w:val="006534C8"/>
    <w:rsid w:val="00656D0E"/>
    <w:rsid w:val="00660DD9"/>
    <w:rsid w:val="00660FAA"/>
    <w:rsid w:val="00671140"/>
    <w:rsid w:val="00675508"/>
    <w:rsid w:val="00677BD2"/>
    <w:rsid w:val="00682D9C"/>
    <w:rsid w:val="00684637"/>
    <w:rsid w:val="00686600"/>
    <w:rsid w:val="00695769"/>
    <w:rsid w:val="0069581C"/>
    <w:rsid w:val="006A1311"/>
    <w:rsid w:val="006B0335"/>
    <w:rsid w:val="006B63FE"/>
    <w:rsid w:val="006B6654"/>
    <w:rsid w:val="006C394A"/>
    <w:rsid w:val="006D4657"/>
    <w:rsid w:val="006D62AB"/>
    <w:rsid w:val="006D7FE5"/>
    <w:rsid w:val="006E04FA"/>
    <w:rsid w:val="006E5A23"/>
    <w:rsid w:val="006E7763"/>
    <w:rsid w:val="006F1EF9"/>
    <w:rsid w:val="006F4236"/>
    <w:rsid w:val="006F47C1"/>
    <w:rsid w:val="006F5863"/>
    <w:rsid w:val="00704973"/>
    <w:rsid w:val="00705AB5"/>
    <w:rsid w:val="00705E17"/>
    <w:rsid w:val="00712B14"/>
    <w:rsid w:val="007146CF"/>
    <w:rsid w:val="00714F6A"/>
    <w:rsid w:val="00723E93"/>
    <w:rsid w:val="00724C0A"/>
    <w:rsid w:val="007264C5"/>
    <w:rsid w:val="00726BD8"/>
    <w:rsid w:val="00727F73"/>
    <w:rsid w:val="007368CD"/>
    <w:rsid w:val="00740297"/>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4E45"/>
    <w:rsid w:val="007B669A"/>
    <w:rsid w:val="007C2442"/>
    <w:rsid w:val="007C532D"/>
    <w:rsid w:val="007D7145"/>
    <w:rsid w:val="007E089F"/>
    <w:rsid w:val="007E3EA5"/>
    <w:rsid w:val="007F085C"/>
    <w:rsid w:val="007F179E"/>
    <w:rsid w:val="007F305D"/>
    <w:rsid w:val="007F550E"/>
    <w:rsid w:val="007F66DC"/>
    <w:rsid w:val="007F71ED"/>
    <w:rsid w:val="00800A06"/>
    <w:rsid w:val="008023E1"/>
    <w:rsid w:val="0081098D"/>
    <w:rsid w:val="008165E6"/>
    <w:rsid w:val="008177D6"/>
    <w:rsid w:val="008275E1"/>
    <w:rsid w:val="008310B9"/>
    <w:rsid w:val="00837848"/>
    <w:rsid w:val="00847084"/>
    <w:rsid w:val="008472CA"/>
    <w:rsid w:val="008501D1"/>
    <w:rsid w:val="00855F73"/>
    <w:rsid w:val="00856E14"/>
    <w:rsid w:val="00867AD3"/>
    <w:rsid w:val="008727CA"/>
    <w:rsid w:val="00874581"/>
    <w:rsid w:val="00875639"/>
    <w:rsid w:val="00875915"/>
    <w:rsid w:val="00876585"/>
    <w:rsid w:val="00876F8E"/>
    <w:rsid w:val="00884C26"/>
    <w:rsid w:val="0088592C"/>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DC1"/>
    <w:rsid w:val="008F1D9E"/>
    <w:rsid w:val="008F22C6"/>
    <w:rsid w:val="008F24DE"/>
    <w:rsid w:val="008F7475"/>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5896"/>
    <w:rsid w:val="00966AF7"/>
    <w:rsid w:val="00971141"/>
    <w:rsid w:val="0097339A"/>
    <w:rsid w:val="0098264F"/>
    <w:rsid w:val="00983052"/>
    <w:rsid w:val="009848C2"/>
    <w:rsid w:val="00986DB0"/>
    <w:rsid w:val="00990817"/>
    <w:rsid w:val="00994011"/>
    <w:rsid w:val="009A47D0"/>
    <w:rsid w:val="009B006B"/>
    <w:rsid w:val="009B1BFB"/>
    <w:rsid w:val="009B660D"/>
    <w:rsid w:val="009B6AC7"/>
    <w:rsid w:val="009C3023"/>
    <w:rsid w:val="009C312C"/>
    <w:rsid w:val="009C40D2"/>
    <w:rsid w:val="009C59A8"/>
    <w:rsid w:val="009C69E9"/>
    <w:rsid w:val="009D1524"/>
    <w:rsid w:val="009D4012"/>
    <w:rsid w:val="009D7B6D"/>
    <w:rsid w:val="009D7CBA"/>
    <w:rsid w:val="009E263F"/>
    <w:rsid w:val="009E4B3D"/>
    <w:rsid w:val="009F24C6"/>
    <w:rsid w:val="009F40B0"/>
    <w:rsid w:val="009F594A"/>
    <w:rsid w:val="00A0211C"/>
    <w:rsid w:val="00A0478B"/>
    <w:rsid w:val="00A0481E"/>
    <w:rsid w:val="00A06707"/>
    <w:rsid w:val="00A07539"/>
    <w:rsid w:val="00A13609"/>
    <w:rsid w:val="00A1458A"/>
    <w:rsid w:val="00A147F9"/>
    <w:rsid w:val="00A222C8"/>
    <w:rsid w:val="00A22B0B"/>
    <w:rsid w:val="00A2597D"/>
    <w:rsid w:val="00A441B0"/>
    <w:rsid w:val="00A501A7"/>
    <w:rsid w:val="00A51967"/>
    <w:rsid w:val="00A577BC"/>
    <w:rsid w:val="00A600AE"/>
    <w:rsid w:val="00A61EF8"/>
    <w:rsid w:val="00A67DA6"/>
    <w:rsid w:val="00A70655"/>
    <w:rsid w:val="00A738BE"/>
    <w:rsid w:val="00A757C6"/>
    <w:rsid w:val="00A778A2"/>
    <w:rsid w:val="00A82D39"/>
    <w:rsid w:val="00A84EC1"/>
    <w:rsid w:val="00A8626B"/>
    <w:rsid w:val="00A919C6"/>
    <w:rsid w:val="00A9382B"/>
    <w:rsid w:val="00A94D81"/>
    <w:rsid w:val="00AA1ED3"/>
    <w:rsid w:val="00AB0D35"/>
    <w:rsid w:val="00AB2BDE"/>
    <w:rsid w:val="00AB3D17"/>
    <w:rsid w:val="00AC0038"/>
    <w:rsid w:val="00AC089B"/>
    <w:rsid w:val="00AC15BE"/>
    <w:rsid w:val="00AC4F4B"/>
    <w:rsid w:val="00AC6BBF"/>
    <w:rsid w:val="00AC7E85"/>
    <w:rsid w:val="00AD1FD1"/>
    <w:rsid w:val="00AD27F4"/>
    <w:rsid w:val="00AD359F"/>
    <w:rsid w:val="00AD3E92"/>
    <w:rsid w:val="00AE1A72"/>
    <w:rsid w:val="00AF35EB"/>
    <w:rsid w:val="00AF45C5"/>
    <w:rsid w:val="00AF4BC0"/>
    <w:rsid w:val="00AF7416"/>
    <w:rsid w:val="00B0044E"/>
    <w:rsid w:val="00B03ACE"/>
    <w:rsid w:val="00B068D6"/>
    <w:rsid w:val="00B10704"/>
    <w:rsid w:val="00B20EE2"/>
    <w:rsid w:val="00B22EDA"/>
    <w:rsid w:val="00B2433B"/>
    <w:rsid w:val="00B33625"/>
    <w:rsid w:val="00B35C88"/>
    <w:rsid w:val="00B43E6A"/>
    <w:rsid w:val="00B44B7E"/>
    <w:rsid w:val="00B45AD5"/>
    <w:rsid w:val="00B523E9"/>
    <w:rsid w:val="00B53A15"/>
    <w:rsid w:val="00B57DDA"/>
    <w:rsid w:val="00B61C2B"/>
    <w:rsid w:val="00B6255A"/>
    <w:rsid w:val="00B63503"/>
    <w:rsid w:val="00B669C5"/>
    <w:rsid w:val="00B705BE"/>
    <w:rsid w:val="00B85463"/>
    <w:rsid w:val="00B873A6"/>
    <w:rsid w:val="00B87F40"/>
    <w:rsid w:val="00B91204"/>
    <w:rsid w:val="00B917EE"/>
    <w:rsid w:val="00B94FCE"/>
    <w:rsid w:val="00B95DD0"/>
    <w:rsid w:val="00B96790"/>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D01A3"/>
    <w:rsid w:val="00BE21F8"/>
    <w:rsid w:val="00BE4AD4"/>
    <w:rsid w:val="00BE64FA"/>
    <w:rsid w:val="00BF0179"/>
    <w:rsid w:val="00BF1792"/>
    <w:rsid w:val="00BF59AD"/>
    <w:rsid w:val="00C00EBB"/>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0B2D"/>
    <w:rsid w:val="00C42AC6"/>
    <w:rsid w:val="00C43AB1"/>
    <w:rsid w:val="00C45C27"/>
    <w:rsid w:val="00C52192"/>
    <w:rsid w:val="00C5619A"/>
    <w:rsid w:val="00C6020D"/>
    <w:rsid w:val="00C60DB6"/>
    <w:rsid w:val="00C673C8"/>
    <w:rsid w:val="00C67D90"/>
    <w:rsid w:val="00C67E1C"/>
    <w:rsid w:val="00C76EC5"/>
    <w:rsid w:val="00C7731D"/>
    <w:rsid w:val="00C82B4C"/>
    <w:rsid w:val="00C83DF6"/>
    <w:rsid w:val="00C859FB"/>
    <w:rsid w:val="00C90EFC"/>
    <w:rsid w:val="00C92E8E"/>
    <w:rsid w:val="00CA064B"/>
    <w:rsid w:val="00CA36BC"/>
    <w:rsid w:val="00CA4AF7"/>
    <w:rsid w:val="00CB0DE8"/>
    <w:rsid w:val="00CB7CEE"/>
    <w:rsid w:val="00CB7E8D"/>
    <w:rsid w:val="00CC1139"/>
    <w:rsid w:val="00CC2998"/>
    <w:rsid w:val="00CD1710"/>
    <w:rsid w:val="00CD281E"/>
    <w:rsid w:val="00CD798D"/>
    <w:rsid w:val="00CE1025"/>
    <w:rsid w:val="00CE3122"/>
    <w:rsid w:val="00CF1A23"/>
    <w:rsid w:val="00D17B17"/>
    <w:rsid w:val="00D30696"/>
    <w:rsid w:val="00D416E9"/>
    <w:rsid w:val="00D43CA0"/>
    <w:rsid w:val="00D453B1"/>
    <w:rsid w:val="00D53CE5"/>
    <w:rsid w:val="00D54FED"/>
    <w:rsid w:val="00D62BFB"/>
    <w:rsid w:val="00D6721D"/>
    <w:rsid w:val="00D67BFE"/>
    <w:rsid w:val="00D72765"/>
    <w:rsid w:val="00D9389C"/>
    <w:rsid w:val="00D97561"/>
    <w:rsid w:val="00D97AB6"/>
    <w:rsid w:val="00DA2048"/>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DF74E5"/>
    <w:rsid w:val="00E038FB"/>
    <w:rsid w:val="00E05134"/>
    <w:rsid w:val="00E1043D"/>
    <w:rsid w:val="00E105EC"/>
    <w:rsid w:val="00E10759"/>
    <w:rsid w:val="00E11569"/>
    <w:rsid w:val="00E3067E"/>
    <w:rsid w:val="00E32D36"/>
    <w:rsid w:val="00E351C7"/>
    <w:rsid w:val="00E36A30"/>
    <w:rsid w:val="00E413A9"/>
    <w:rsid w:val="00E420ED"/>
    <w:rsid w:val="00E4460E"/>
    <w:rsid w:val="00E45165"/>
    <w:rsid w:val="00E57852"/>
    <w:rsid w:val="00E60C98"/>
    <w:rsid w:val="00E635CE"/>
    <w:rsid w:val="00E661E7"/>
    <w:rsid w:val="00E70962"/>
    <w:rsid w:val="00E71F0A"/>
    <w:rsid w:val="00E72801"/>
    <w:rsid w:val="00E7306C"/>
    <w:rsid w:val="00E756D4"/>
    <w:rsid w:val="00E772EC"/>
    <w:rsid w:val="00E81E50"/>
    <w:rsid w:val="00E82E8E"/>
    <w:rsid w:val="00E845C2"/>
    <w:rsid w:val="00E94A79"/>
    <w:rsid w:val="00E95ACF"/>
    <w:rsid w:val="00E96254"/>
    <w:rsid w:val="00EB066D"/>
    <w:rsid w:val="00EB08A7"/>
    <w:rsid w:val="00EB2335"/>
    <w:rsid w:val="00EB4F4B"/>
    <w:rsid w:val="00EC0944"/>
    <w:rsid w:val="00EC7B4A"/>
    <w:rsid w:val="00ED0E21"/>
    <w:rsid w:val="00ED37A4"/>
    <w:rsid w:val="00ED3B04"/>
    <w:rsid w:val="00ED3E20"/>
    <w:rsid w:val="00EE5591"/>
    <w:rsid w:val="00EE5D4F"/>
    <w:rsid w:val="00EE7C56"/>
    <w:rsid w:val="00EF293E"/>
    <w:rsid w:val="00EF2EC1"/>
    <w:rsid w:val="00EF4122"/>
    <w:rsid w:val="00F011A6"/>
    <w:rsid w:val="00F020C2"/>
    <w:rsid w:val="00F03575"/>
    <w:rsid w:val="00F03D74"/>
    <w:rsid w:val="00F04D24"/>
    <w:rsid w:val="00F06A80"/>
    <w:rsid w:val="00F10AA4"/>
    <w:rsid w:val="00F13D27"/>
    <w:rsid w:val="00F1430E"/>
    <w:rsid w:val="00F16034"/>
    <w:rsid w:val="00F2312C"/>
    <w:rsid w:val="00F25567"/>
    <w:rsid w:val="00F32416"/>
    <w:rsid w:val="00F32F6B"/>
    <w:rsid w:val="00F34AA0"/>
    <w:rsid w:val="00F34C85"/>
    <w:rsid w:val="00F35E78"/>
    <w:rsid w:val="00F37998"/>
    <w:rsid w:val="00F37B3B"/>
    <w:rsid w:val="00F42857"/>
    <w:rsid w:val="00F45E01"/>
    <w:rsid w:val="00F47FAC"/>
    <w:rsid w:val="00F520E5"/>
    <w:rsid w:val="00F52AB4"/>
    <w:rsid w:val="00F5366F"/>
    <w:rsid w:val="00F54F28"/>
    <w:rsid w:val="00F6136F"/>
    <w:rsid w:val="00F6602E"/>
    <w:rsid w:val="00F70650"/>
    <w:rsid w:val="00F70D54"/>
    <w:rsid w:val="00F723DF"/>
    <w:rsid w:val="00F72F83"/>
    <w:rsid w:val="00F73AB1"/>
    <w:rsid w:val="00F7409F"/>
    <w:rsid w:val="00F75081"/>
    <w:rsid w:val="00F75C23"/>
    <w:rsid w:val="00F76366"/>
    <w:rsid w:val="00F76B0A"/>
    <w:rsid w:val="00F77953"/>
    <w:rsid w:val="00F813C4"/>
    <w:rsid w:val="00F844B5"/>
    <w:rsid w:val="00F84FB2"/>
    <w:rsid w:val="00F866D8"/>
    <w:rsid w:val="00F904BE"/>
    <w:rsid w:val="00F95FF5"/>
    <w:rsid w:val="00F96FCC"/>
    <w:rsid w:val="00FA07CE"/>
    <w:rsid w:val="00FA0A52"/>
    <w:rsid w:val="00FA2A1C"/>
    <w:rsid w:val="00FA7FAA"/>
    <w:rsid w:val="00FB4489"/>
    <w:rsid w:val="00FB45AC"/>
    <w:rsid w:val="00FC31A6"/>
    <w:rsid w:val="00FC47E3"/>
    <w:rsid w:val="00FD1042"/>
    <w:rsid w:val="00FD221B"/>
    <w:rsid w:val="00FD2460"/>
    <w:rsid w:val="00FD5163"/>
    <w:rsid w:val="00FE336E"/>
    <w:rsid w:val="00FE7ED7"/>
    <w:rsid w:val="00FF1F1D"/>
    <w:rsid w:val="00FF3EE4"/>
    <w:rsid w:val="00FF407F"/>
    <w:rsid w:val="00FF5155"/>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1C5F67"/>
  <w15:docId w15:val="{30ACE200-9641-4AAC-84F4-C5B681B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1938-79C7-429A-B1EA-26FD759C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2</cp:revision>
  <cp:lastPrinted>2017-08-24T19:58:00Z</cp:lastPrinted>
  <dcterms:created xsi:type="dcterms:W3CDTF">2017-09-05T16:18:00Z</dcterms:created>
  <dcterms:modified xsi:type="dcterms:W3CDTF">2017-09-05T16:18:00Z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