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6B2B3" w14:textId="47383C5D" w:rsidR="00C07D21" w:rsidRPr="00775EBD" w:rsidRDefault="00806C94" w:rsidP="00C07D21">
      <w:pPr>
        <w:spacing w:after="0" w:line="240" w:lineRule="auto"/>
        <w:rPr>
          <w:rFonts w:ascii="Times New Roman" w:hAnsi="Times New Roman"/>
        </w:rPr>
      </w:pPr>
      <w:r>
        <w:rPr>
          <w:rFonts w:ascii="Times New Roman" w:hAnsi="Times New Roman"/>
        </w:rPr>
        <w:t>June 27</w:t>
      </w:r>
      <w:r w:rsidR="00852838">
        <w:rPr>
          <w:rFonts w:ascii="Times New Roman" w:hAnsi="Times New Roman"/>
        </w:rPr>
        <w:t>, 2016</w:t>
      </w:r>
    </w:p>
    <w:p w14:paraId="5C923DD7" w14:textId="77777777" w:rsidR="00C07D21" w:rsidRPr="00775EBD" w:rsidRDefault="00C07D21" w:rsidP="00C07D21">
      <w:pPr>
        <w:spacing w:after="0" w:line="240" w:lineRule="auto"/>
        <w:rPr>
          <w:rFonts w:ascii="Times New Roman" w:hAnsi="Times New Roman"/>
        </w:rPr>
      </w:pPr>
      <w:r w:rsidRPr="00775EBD">
        <w:rPr>
          <w:rFonts w:ascii="Times New Roman" w:hAnsi="Times New Roman"/>
        </w:rPr>
        <w:br/>
        <w:t>Technical Director</w:t>
      </w:r>
      <w:r w:rsidRPr="00775EBD">
        <w:rPr>
          <w:rFonts w:ascii="Times New Roman" w:hAnsi="Times New Roman"/>
        </w:rPr>
        <w:br/>
        <w:t>Financial Accounting Standards Board</w:t>
      </w:r>
      <w:r w:rsidRPr="00775EBD">
        <w:rPr>
          <w:rFonts w:ascii="Times New Roman" w:hAnsi="Times New Roman"/>
        </w:rPr>
        <w:br/>
        <w:t>401 Merritt 7, P.O. Box 5116</w:t>
      </w:r>
    </w:p>
    <w:p w14:paraId="715B3F83" w14:textId="77777777" w:rsidR="00C07D21" w:rsidRPr="00775EBD" w:rsidRDefault="00C07D21" w:rsidP="00C07D21">
      <w:pPr>
        <w:spacing w:after="0" w:line="240" w:lineRule="auto"/>
        <w:rPr>
          <w:rFonts w:ascii="Times New Roman" w:hAnsi="Times New Roman"/>
        </w:rPr>
      </w:pPr>
      <w:r w:rsidRPr="00775EBD">
        <w:rPr>
          <w:rFonts w:ascii="Times New Roman" w:hAnsi="Times New Roman"/>
        </w:rPr>
        <w:t>Norwalk, CT 06856-5116</w:t>
      </w:r>
    </w:p>
    <w:p w14:paraId="54A07FB2" w14:textId="77777777" w:rsidR="00C07D21" w:rsidRPr="00775EBD" w:rsidRDefault="00C07D21" w:rsidP="00C07D21">
      <w:pPr>
        <w:spacing w:after="0" w:line="240" w:lineRule="auto"/>
        <w:rPr>
          <w:rFonts w:ascii="Times New Roman" w:hAnsi="Times New Roman"/>
        </w:rPr>
      </w:pPr>
    </w:p>
    <w:p w14:paraId="2C4FBA4A" w14:textId="2392F0FE" w:rsidR="00C07D21" w:rsidRPr="00775EBD" w:rsidRDefault="00C07D21" w:rsidP="00D44D90">
      <w:pPr>
        <w:spacing w:after="0" w:line="240" w:lineRule="auto"/>
        <w:jc w:val="both"/>
        <w:rPr>
          <w:rFonts w:ascii="Times New Roman" w:hAnsi="Times New Roman"/>
        </w:rPr>
      </w:pPr>
      <w:r w:rsidRPr="00775EBD">
        <w:rPr>
          <w:rFonts w:ascii="Times New Roman" w:hAnsi="Times New Roman"/>
        </w:rPr>
        <w:t xml:space="preserve">File Reference </w:t>
      </w:r>
      <w:r w:rsidR="00806C94">
        <w:rPr>
          <w:rFonts w:ascii="Times New Roman" w:hAnsi="Times New Roman"/>
        </w:rPr>
        <w:t>No. EITF-16A</w:t>
      </w:r>
    </w:p>
    <w:p w14:paraId="09AA6E92" w14:textId="77777777" w:rsidR="00C07D21" w:rsidRPr="00775EBD" w:rsidRDefault="00C07D21" w:rsidP="00D44D90">
      <w:pPr>
        <w:spacing w:after="0" w:line="240" w:lineRule="auto"/>
        <w:jc w:val="both"/>
        <w:rPr>
          <w:rFonts w:ascii="Times New Roman" w:hAnsi="Times New Roman"/>
        </w:rPr>
      </w:pPr>
    </w:p>
    <w:p w14:paraId="6A6087AA" w14:textId="2086B6A9" w:rsidR="00FA7FAA" w:rsidRDefault="00FA7FAA" w:rsidP="00D44D90">
      <w:pPr>
        <w:spacing w:after="0" w:line="240" w:lineRule="auto"/>
        <w:jc w:val="both"/>
        <w:rPr>
          <w:rFonts w:ascii="Times New Roman" w:hAnsi="Times New Roman"/>
        </w:rPr>
      </w:pPr>
      <w:r>
        <w:rPr>
          <w:rFonts w:ascii="Times New Roman" w:hAnsi="Times New Roman"/>
        </w:rPr>
        <w:t xml:space="preserve">The Accounting Principles Committee of the Illinois CPA Society (Committee) appreciates the opportunity to provide its perspective on the </w:t>
      </w:r>
      <w:r w:rsidR="00D44D90" w:rsidRPr="00D44D90">
        <w:rPr>
          <w:rFonts w:ascii="Times New Roman" w:hAnsi="Times New Roman"/>
        </w:rPr>
        <w:t>Proposed Accounting Standards Update—</w:t>
      </w:r>
      <w:r w:rsidR="00806C94">
        <w:rPr>
          <w:rFonts w:ascii="Times New Roman" w:hAnsi="Times New Roman"/>
          <w:i/>
          <w:iCs/>
        </w:rPr>
        <w:t>Restricted Cash: a consensus of the FASB Emerging Issues Task Force</w:t>
      </w:r>
      <w:r>
        <w:rPr>
          <w:rFonts w:ascii="Times New Roman" w:hAnsi="Times New Roman"/>
        </w:rPr>
        <w:t>.  The Committee is a voluntary group of CPAs from public practice, industry and education.  Our comments represent the collective views of the Committee members and not the individual views of the members or the organizations with which they are affiliated.  The organization and operating procedures of the Committee are outlined in Appendix A to this letter.</w:t>
      </w:r>
    </w:p>
    <w:p w14:paraId="1441808B" w14:textId="77777777" w:rsidR="00D44D90" w:rsidRDefault="00D44D90" w:rsidP="00D44D90">
      <w:pPr>
        <w:spacing w:after="0" w:line="240" w:lineRule="auto"/>
        <w:jc w:val="both"/>
        <w:rPr>
          <w:rFonts w:ascii="Times New Roman" w:hAnsi="Times New Roman"/>
        </w:rPr>
      </w:pPr>
    </w:p>
    <w:p w14:paraId="46051EC1" w14:textId="698D2AF6" w:rsidR="008C45C6" w:rsidRDefault="00852838" w:rsidP="00041775">
      <w:pPr>
        <w:spacing w:line="240" w:lineRule="auto"/>
        <w:jc w:val="both"/>
        <w:rPr>
          <w:rFonts w:ascii="Times New Roman" w:hAnsi="Times New Roman"/>
        </w:rPr>
      </w:pPr>
      <w:r>
        <w:rPr>
          <w:rFonts w:ascii="Times New Roman" w:hAnsi="Times New Roman"/>
        </w:rPr>
        <w:t>W</w:t>
      </w:r>
      <w:r w:rsidR="002C22EC" w:rsidRPr="008C45C6">
        <w:rPr>
          <w:rFonts w:ascii="Times New Roman" w:hAnsi="Times New Roman"/>
        </w:rPr>
        <w:t xml:space="preserve">e </w:t>
      </w:r>
      <w:r w:rsidR="00D44D90" w:rsidRPr="008C45C6">
        <w:rPr>
          <w:rFonts w:ascii="Times New Roman" w:hAnsi="Times New Roman"/>
        </w:rPr>
        <w:t>are supportive of the Board’s</w:t>
      </w:r>
      <w:r w:rsidR="000D728D" w:rsidRPr="008C45C6">
        <w:rPr>
          <w:rFonts w:ascii="Times New Roman" w:hAnsi="Times New Roman"/>
        </w:rPr>
        <w:t xml:space="preserve"> efforts to</w:t>
      </w:r>
      <w:r w:rsidR="00806C94">
        <w:rPr>
          <w:rFonts w:ascii="Times New Roman" w:hAnsi="Times New Roman"/>
        </w:rPr>
        <w:t xml:space="preserve"> promote consistency in the classification and presentation of changes in restricted cash</w:t>
      </w:r>
      <w:r w:rsidR="008806F3">
        <w:rPr>
          <w:rFonts w:ascii="Times New Roman" w:hAnsi="Times New Roman"/>
        </w:rPr>
        <w:t xml:space="preserve"> on the statement of cash flows,</w:t>
      </w:r>
      <w:r>
        <w:rPr>
          <w:rFonts w:ascii="Times New Roman" w:hAnsi="Times New Roman"/>
        </w:rPr>
        <w:t xml:space="preserve"> </w:t>
      </w:r>
      <w:r w:rsidR="008806F3">
        <w:rPr>
          <w:rFonts w:ascii="Times New Roman" w:hAnsi="Times New Roman"/>
        </w:rPr>
        <w:t>and</w:t>
      </w:r>
      <w:r>
        <w:rPr>
          <w:rFonts w:ascii="Times New Roman" w:hAnsi="Times New Roman"/>
        </w:rPr>
        <w:t xml:space="preserve"> </w:t>
      </w:r>
      <w:r w:rsidR="008806F3">
        <w:rPr>
          <w:rFonts w:ascii="Times New Roman" w:hAnsi="Times New Roman"/>
        </w:rPr>
        <w:t>w</w:t>
      </w:r>
      <w:r>
        <w:rPr>
          <w:rFonts w:ascii="Times New Roman" w:hAnsi="Times New Roman"/>
        </w:rPr>
        <w:t>e believe that the proposed guidance will be helpful to</w:t>
      </w:r>
      <w:r w:rsidR="008806F3">
        <w:rPr>
          <w:rFonts w:ascii="Times New Roman" w:hAnsi="Times New Roman"/>
        </w:rPr>
        <w:t xml:space="preserve"> financial statement users</w:t>
      </w:r>
      <w:r>
        <w:rPr>
          <w:rFonts w:ascii="Times New Roman" w:hAnsi="Times New Roman"/>
        </w:rPr>
        <w:t>.</w:t>
      </w:r>
    </w:p>
    <w:p w14:paraId="43C191DD" w14:textId="2D9C2F4F" w:rsidR="009300EF" w:rsidRDefault="009300EF" w:rsidP="00041775">
      <w:pPr>
        <w:spacing w:line="240" w:lineRule="auto"/>
        <w:jc w:val="both"/>
        <w:rPr>
          <w:rFonts w:ascii="Times New Roman" w:hAnsi="Times New Roman"/>
        </w:rPr>
      </w:pPr>
      <w:r>
        <w:rPr>
          <w:rFonts w:ascii="Times New Roman" w:hAnsi="Times New Roman"/>
        </w:rPr>
        <w:t>In addition to our comments below, we believe that the proposed amendments to the presentation guidance for not-for-profit entities could be enhanced. As amended, ASC 958-230-55-3 explains that an adjustment to the change in net assets is necessary to present cash receipts with certain donor-imposed restrictions as cash inflows from financing activities. While it is clear in the marked version of ASC 958-205-55-20 where this adjustment is made (the change in “Contributions restricted for long-term investment” is adjusted from (2,740) to (3,030)), we do not believe this will be as clear once the guidance is finalized and the marked changes are removed. Therefore, we believe that additional explanation is necessary in ASC 958-230-55-3 to clarify how this adjustment is to be made, perhaps by referencing th</w:t>
      </w:r>
      <w:r w:rsidR="00FF7C8E">
        <w:rPr>
          <w:rFonts w:ascii="Times New Roman" w:hAnsi="Times New Roman"/>
        </w:rPr>
        <w:t>e example in ASC 958-205-55-20.</w:t>
      </w:r>
    </w:p>
    <w:p w14:paraId="2FED0AAC" w14:textId="4C17AD10" w:rsidR="00D44D90" w:rsidRPr="008C45C6" w:rsidRDefault="008806F3" w:rsidP="00041775">
      <w:pPr>
        <w:spacing w:line="240" w:lineRule="auto"/>
        <w:jc w:val="both"/>
        <w:rPr>
          <w:rFonts w:ascii="Times New Roman" w:hAnsi="Times New Roman"/>
        </w:rPr>
      </w:pPr>
      <w:r>
        <w:rPr>
          <w:rFonts w:ascii="Times New Roman" w:hAnsi="Times New Roman"/>
        </w:rPr>
        <w:t xml:space="preserve">Following are </w:t>
      </w:r>
      <w:r w:rsidR="00685277">
        <w:rPr>
          <w:rFonts w:ascii="Times New Roman" w:hAnsi="Times New Roman"/>
        </w:rPr>
        <w:t>o</w:t>
      </w:r>
      <w:r w:rsidR="000D728D" w:rsidRPr="008C45C6">
        <w:rPr>
          <w:rFonts w:ascii="Times New Roman" w:hAnsi="Times New Roman"/>
        </w:rPr>
        <w:t xml:space="preserve">ur responses to the proposal’s </w:t>
      </w:r>
      <w:r w:rsidR="00685277">
        <w:rPr>
          <w:rFonts w:ascii="Times New Roman" w:hAnsi="Times New Roman"/>
        </w:rPr>
        <w:t>Questions for Respondents</w:t>
      </w:r>
      <w:r w:rsidR="000D728D" w:rsidRPr="008C45C6">
        <w:rPr>
          <w:rFonts w:ascii="Times New Roman" w:hAnsi="Times New Roman"/>
        </w:rPr>
        <w:t>.</w:t>
      </w:r>
      <w:r w:rsidR="00D44D90" w:rsidRPr="008C45C6">
        <w:rPr>
          <w:rFonts w:ascii="Times New Roman" w:hAnsi="Times New Roman"/>
        </w:rPr>
        <w:t xml:space="preserve">  </w:t>
      </w:r>
    </w:p>
    <w:p w14:paraId="47808871" w14:textId="12B76ADC" w:rsidR="00D44D90" w:rsidRPr="00D44D90" w:rsidRDefault="00685277" w:rsidP="00D44D90">
      <w:pPr>
        <w:pStyle w:val="ListParagraph"/>
        <w:numPr>
          <w:ilvl w:val="0"/>
          <w:numId w:val="3"/>
        </w:numPr>
        <w:jc w:val="both"/>
        <w:rPr>
          <w:i/>
          <w:sz w:val="22"/>
          <w:szCs w:val="22"/>
        </w:rPr>
      </w:pPr>
      <w:r>
        <w:rPr>
          <w:i/>
          <w:sz w:val="22"/>
          <w:szCs w:val="22"/>
        </w:rPr>
        <w:t xml:space="preserve">Do you agree </w:t>
      </w:r>
      <w:r w:rsidR="008806F3">
        <w:rPr>
          <w:i/>
          <w:sz w:val="22"/>
          <w:szCs w:val="22"/>
        </w:rPr>
        <w:t>that the statement of cash flows should explain the change during the period in the total of cash, cash equivalents, and amounts generally described as restricted cash or restricted cash equivalents</w:t>
      </w:r>
      <w:r>
        <w:rPr>
          <w:i/>
          <w:sz w:val="22"/>
          <w:szCs w:val="22"/>
        </w:rPr>
        <w:t>?</w:t>
      </w:r>
      <w:r w:rsidR="008806F3">
        <w:rPr>
          <w:i/>
          <w:sz w:val="22"/>
          <w:szCs w:val="22"/>
        </w:rPr>
        <w:t xml:space="preserve"> If not, please explain what presentation is more appropriate and why.</w:t>
      </w:r>
      <w:r w:rsidR="00D44D90" w:rsidRPr="00D44D90">
        <w:rPr>
          <w:i/>
          <w:sz w:val="22"/>
          <w:szCs w:val="22"/>
        </w:rPr>
        <w:t xml:space="preserve"> </w:t>
      </w:r>
    </w:p>
    <w:p w14:paraId="28FF32C4" w14:textId="77777777" w:rsidR="00D44D90" w:rsidRDefault="00D44D90" w:rsidP="00E845C2">
      <w:pPr>
        <w:pStyle w:val="ListParagraph"/>
        <w:rPr>
          <w:sz w:val="22"/>
          <w:szCs w:val="22"/>
        </w:rPr>
      </w:pPr>
    </w:p>
    <w:p w14:paraId="095FF518" w14:textId="293DA3D4" w:rsidR="001B6B1A" w:rsidRPr="005403FE" w:rsidRDefault="00A6434A" w:rsidP="005403FE">
      <w:pPr>
        <w:ind w:firstLine="720"/>
        <w:rPr>
          <w:rFonts w:ascii="Times New Roman" w:hAnsi="Times New Roman"/>
        </w:rPr>
      </w:pPr>
      <w:r w:rsidRPr="005403FE">
        <w:rPr>
          <w:rFonts w:ascii="Times New Roman" w:hAnsi="Times New Roman"/>
        </w:rPr>
        <w:t xml:space="preserve">We </w:t>
      </w:r>
      <w:r w:rsidR="00685277" w:rsidRPr="005403FE">
        <w:rPr>
          <w:rFonts w:ascii="Times New Roman" w:hAnsi="Times New Roman"/>
        </w:rPr>
        <w:t>agree.</w:t>
      </w:r>
    </w:p>
    <w:p w14:paraId="20469B29" w14:textId="7F420692" w:rsidR="009538E7" w:rsidRDefault="008806F3" w:rsidP="0034247D">
      <w:pPr>
        <w:pStyle w:val="ListParagraph"/>
        <w:numPr>
          <w:ilvl w:val="0"/>
          <w:numId w:val="3"/>
        </w:numPr>
        <w:jc w:val="both"/>
        <w:rPr>
          <w:i/>
          <w:sz w:val="22"/>
          <w:szCs w:val="22"/>
        </w:rPr>
      </w:pPr>
      <w:r>
        <w:rPr>
          <w:i/>
          <w:sz w:val="22"/>
          <w:szCs w:val="22"/>
        </w:rPr>
        <w:t>Do you agree that if the total of cash, cash equivalents, and amounts generally described as restricted cash or restricted cash equivalents at the beginning and end of the period shown on the statement of cash flows cannot be reconciled to the amounts of similarly titled line items on the statement of financial position, an entity should disclose on the face of the statement of cash flows or in the notes to the financial statements, the amounts and line items in which such amounts are reported within the statement of financial position</w:t>
      </w:r>
      <w:r w:rsidR="00685277">
        <w:rPr>
          <w:i/>
          <w:sz w:val="22"/>
          <w:szCs w:val="22"/>
        </w:rPr>
        <w:t>?</w:t>
      </w:r>
      <w:r>
        <w:rPr>
          <w:i/>
          <w:sz w:val="22"/>
          <w:szCs w:val="22"/>
        </w:rPr>
        <w:t xml:space="preserve"> If not, please explain why that information would not be useful.</w:t>
      </w:r>
    </w:p>
    <w:p w14:paraId="4FBB251F" w14:textId="77777777" w:rsidR="0034247D" w:rsidRDefault="0034247D" w:rsidP="0034247D">
      <w:pPr>
        <w:pStyle w:val="ListParagraph"/>
        <w:jc w:val="both"/>
        <w:rPr>
          <w:i/>
          <w:sz w:val="22"/>
          <w:szCs w:val="22"/>
        </w:rPr>
      </w:pPr>
    </w:p>
    <w:p w14:paraId="74414210" w14:textId="582B8BB9" w:rsidR="008806F3" w:rsidRDefault="00124731" w:rsidP="008806F3">
      <w:pPr>
        <w:ind w:left="720"/>
        <w:jc w:val="both"/>
        <w:rPr>
          <w:rFonts w:ascii="Times New Roman" w:hAnsi="Times New Roman"/>
        </w:rPr>
      </w:pPr>
      <w:r>
        <w:rPr>
          <w:rFonts w:ascii="Times New Roman" w:hAnsi="Times New Roman"/>
        </w:rPr>
        <w:t>In our view, many users are accustomed to reconciling the amounts denoted as cash and cash equivalents on the statement of cash flows to the corresponding balances on the statement of financial position</w:t>
      </w:r>
      <w:r w:rsidR="008806F3">
        <w:rPr>
          <w:rFonts w:ascii="Times New Roman" w:hAnsi="Times New Roman"/>
        </w:rPr>
        <w:t>.</w:t>
      </w:r>
      <w:r>
        <w:rPr>
          <w:rFonts w:ascii="Times New Roman" w:hAnsi="Times New Roman"/>
        </w:rPr>
        <w:t xml:space="preserve"> We believe the Task Force should consider requiring separate presentation of (1) cash and cash equivalents and (2) restricted cash and restricted cash equivalents on the statement of cash flows, thus allowing the balance in (1) to be traced back to the statement of financial position.</w:t>
      </w:r>
    </w:p>
    <w:p w14:paraId="5386099C" w14:textId="0139B71F" w:rsidR="00124731" w:rsidRDefault="00124731" w:rsidP="008806F3">
      <w:pPr>
        <w:ind w:left="720"/>
        <w:jc w:val="both"/>
        <w:rPr>
          <w:i/>
        </w:rPr>
      </w:pPr>
      <w:r>
        <w:rPr>
          <w:rFonts w:ascii="Times New Roman" w:hAnsi="Times New Roman"/>
        </w:rPr>
        <w:lastRenderedPageBreak/>
        <w:t xml:space="preserve">Regardless, we agree that entities </w:t>
      </w:r>
      <w:r w:rsidR="0062628D">
        <w:rPr>
          <w:rFonts w:ascii="Times New Roman" w:hAnsi="Times New Roman"/>
        </w:rPr>
        <w:t>should disclose the line items in which restricted cash and restricted cash equivalents are reported on the statement of financial position.</w:t>
      </w:r>
    </w:p>
    <w:p w14:paraId="7D959AA4" w14:textId="4B74CD3A" w:rsidR="000D728D" w:rsidRPr="001B6B1A" w:rsidRDefault="008806F3" w:rsidP="000D728D">
      <w:pPr>
        <w:pStyle w:val="ListParagraph"/>
        <w:numPr>
          <w:ilvl w:val="0"/>
          <w:numId w:val="3"/>
        </w:numPr>
        <w:jc w:val="both"/>
        <w:rPr>
          <w:i/>
          <w:sz w:val="22"/>
          <w:szCs w:val="22"/>
        </w:rPr>
      </w:pPr>
      <w:r>
        <w:rPr>
          <w:i/>
          <w:sz w:val="22"/>
          <w:szCs w:val="22"/>
        </w:rPr>
        <w:t>Do you agree that an entity should be required to disclose information about the nature of restrictions on its cash and cash equivalents</w:t>
      </w:r>
      <w:r w:rsidR="00A27AFF">
        <w:rPr>
          <w:i/>
          <w:sz w:val="22"/>
          <w:szCs w:val="22"/>
        </w:rPr>
        <w:t>?</w:t>
      </w:r>
      <w:r>
        <w:rPr>
          <w:i/>
          <w:sz w:val="22"/>
          <w:szCs w:val="22"/>
        </w:rPr>
        <w:t xml:space="preserve"> If not, please explain why that information would not be useful.</w:t>
      </w:r>
    </w:p>
    <w:p w14:paraId="10530415" w14:textId="77777777" w:rsidR="00D9165B" w:rsidRDefault="00D9165B" w:rsidP="001B6B1A">
      <w:pPr>
        <w:pStyle w:val="ListParagraph"/>
      </w:pPr>
    </w:p>
    <w:p w14:paraId="2657DCE7" w14:textId="11649521" w:rsidR="00EB500C" w:rsidRDefault="00313FA0" w:rsidP="00EB500C">
      <w:pPr>
        <w:ind w:left="720"/>
        <w:jc w:val="both"/>
        <w:rPr>
          <w:rFonts w:ascii="Times New Roman" w:hAnsi="Times New Roman"/>
        </w:rPr>
      </w:pPr>
      <w:r>
        <w:rPr>
          <w:rFonts w:ascii="Times New Roman" w:hAnsi="Times New Roman"/>
        </w:rPr>
        <w:t xml:space="preserve">We </w:t>
      </w:r>
      <w:r w:rsidR="008806F3">
        <w:rPr>
          <w:rFonts w:ascii="Times New Roman" w:hAnsi="Times New Roman"/>
        </w:rPr>
        <w:t>agree.</w:t>
      </w:r>
    </w:p>
    <w:p w14:paraId="34C4BB29" w14:textId="117840CB" w:rsidR="00313FA0" w:rsidRPr="005403FE" w:rsidRDefault="008806F3" w:rsidP="00313FA0">
      <w:pPr>
        <w:pStyle w:val="ListParagraph"/>
        <w:numPr>
          <w:ilvl w:val="0"/>
          <w:numId w:val="3"/>
        </w:numPr>
        <w:jc w:val="both"/>
        <w:rPr>
          <w:i/>
          <w:sz w:val="22"/>
          <w:szCs w:val="22"/>
        </w:rPr>
      </w:pPr>
      <w:r>
        <w:rPr>
          <w:i/>
          <w:sz w:val="22"/>
          <w:szCs w:val="22"/>
        </w:rPr>
        <w:t>Would disclosures of the amounts of gross transfers between cash, cash equivalents, and amounts generally described as restricted cash or restricted cash equivalents (excluding transfers, constructive or actual, that result in a concurrent cash receipt from or a concurrent cash payment to an outside source) provide meaningful information to financial statement users</w:t>
      </w:r>
      <w:r w:rsidR="00313FA0" w:rsidRPr="005403FE">
        <w:rPr>
          <w:i/>
          <w:sz w:val="22"/>
          <w:szCs w:val="22"/>
        </w:rPr>
        <w:t>?</w:t>
      </w:r>
      <w:r>
        <w:rPr>
          <w:i/>
          <w:sz w:val="22"/>
          <w:szCs w:val="22"/>
        </w:rPr>
        <w:t xml:space="preserve"> Please explain why.</w:t>
      </w:r>
    </w:p>
    <w:p w14:paraId="3CC2B855" w14:textId="77777777" w:rsidR="005403FE" w:rsidRDefault="005403FE" w:rsidP="005403FE">
      <w:pPr>
        <w:pStyle w:val="ListParagraph"/>
      </w:pPr>
    </w:p>
    <w:p w14:paraId="31DD6E5C" w14:textId="063EF122" w:rsidR="00313FA0" w:rsidRPr="005403FE" w:rsidRDefault="00124731" w:rsidP="00124731">
      <w:pPr>
        <w:ind w:left="720"/>
        <w:jc w:val="both"/>
        <w:rPr>
          <w:rFonts w:ascii="Times New Roman" w:hAnsi="Times New Roman"/>
        </w:rPr>
      </w:pPr>
      <w:r>
        <w:rPr>
          <w:rFonts w:ascii="Times New Roman" w:hAnsi="Times New Roman"/>
        </w:rPr>
        <w:t>While there might be circumstances in which disclosure of this information would provide meaningful information to financial statement users, on balance we do not believe that the benefits of requiring such disclosure would outweigh the costs. In our view, it is sufficient to require entities to disclose the balances of restricted cash and restricted cash equivalents at each reporting date, and to describe the nature of the restrictions.</w:t>
      </w:r>
    </w:p>
    <w:p w14:paraId="16DF7AEB" w14:textId="53D80863" w:rsidR="00313FA0" w:rsidRPr="005403FE" w:rsidRDefault="00124731" w:rsidP="00313FA0">
      <w:pPr>
        <w:pStyle w:val="ListParagraph"/>
        <w:numPr>
          <w:ilvl w:val="0"/>
          <w:numId w:val="3"/>
        </w:numPr>
        <w:jc w:val="both"/>
        <w:rPr>
          <w:i/>
          <w:sz w:val="22"/>
          <w:szCs w:val="22"/>
        </w:rPr>
      </w:pPr>
      <w:r>
        <w:rPr>
          <w:i/>
          <w:sz w:val="22"/>
          <w:szCs w:val="22"/>
        </w:rPr>
        <w:t>Should any other disclosures be provided</w:t>
      </w:r>
      <w:r w:rsidR="00313FA0" w:rsidRPr="005403FE">
        <w:rPr>
          <w:i/>
          <w:sz w:val="22"/>
          <w:szCs w:val="22"/>
        </w:rPr>
        <w:t>?</w:t>
      </w:r>
      <w:r>
        <w:rPr>
          <w:i/>
          <w:sz w:val="22"/>
          <w:szCs w:val="22"/>
        </w:rPr>
        <w:t xml:space="preserve"> If so, please explain what disclosures should be provided and why that information would be useful.</w:t>
      </w:r>
    </w:p>
    <w:p w14:paraId="54B275D9" w14:textId="77777777" w:rsidR="00313FA0" w:rsidRDefault="00313FA0" w:rsidP="005403FE">
      <w:pPr>
        <w:pStyle w:val="ListParagraph"/>
      </w:pPr>
    </w:p>
    <w:p w14:paraId="0DD7836B" w14:textId="59E2F535" w:rsidR="00313FA0" w:rsidRPr="005403FE" w:rsidRDefault="00313FA0" w:rsidP="00313FA0">
      <w:pPr>
        <w:ind w:left="720"/>
        <w:jc w:val="both"/>
        <w:rPr>
          <w:rFonts w:ascii="Times New Roman" w:hAnsi="Times New Roman"/>
        </w:rPr>
      </w:pPr>
      <w:r w:rsidRPr="005403FE">
        <w:rPr>
          <w:rFonts w:ascii="Times New Roman" w:hAnsi="Times New Roman"/>
        </w:rPr>
        <w:t>We</w:t>
      </w:r>
      <w:r w:rsidR="00124731">
        <w:rPr>
          <w:rFonts w:ascii="Times New Roman" w:hAnsi="Times New Roman"/>
        </w:rPr>
        <w:t xml:space="preserve"> do not believe any other disclosures should be provided</w:t>
      </w:r>
      <w:r w:rsidR="00B83688" w:rsidRPr="005403FE">
        <w:rPr>
          <w:rFonts w:ascii="Times New Roman" w:hAnsi="Times New Roman"/>
        </w:rPr>
        <w:t>.</w:t>
      </w:r>
    </w:p>
    <w:p w14:paraId="775D68F8" w14:textId="4280C67A" w:rsidR="00B83688" w:rsidRPr="005403FE" w:rsidRDefault="0062628D" w:rsidP="00B83688">
      <w:pPr>
        <w:pStyle w:val="ListParagraph"/>
        <w:numPr>
          <w:ilvl w:val="0"/>
          <w:numId w:val="3"/>
        </w:numPr>
        <w:jc w:val="both"/>
        <w:rPr>
          <w:i/>
          <w:sz w:val="22"/>
          <w:szCs w:val="22"/>
        </w:rPr>
      </w:pPr>
      <w:r>
        <w:rPr>
          <w:i/>
          <w:sz w:val="22"/>
          <w:szCs w:val="22"/>
        </w:rPr>
        <w:t>Do you agree that the proposed amendments should be applied using a retrospective transition method</w:t>
      </w:r>
      <w:r w:rsidR="00B83688" w:rsidRPr="005403FE">
        <w:rPr>
          <w:i/>
          <w:sz w:val="22"/>
          <w:szCs w:val="22"/>
        </w:rPr>
        <w:t>?</w:t>
      </w:r>
      <w:r>
        <w:rPr>
          <w:i/>
          <w:sz w:val="22"/>
          <w:szCs w:val="22"/>
        </w:rPr>
        <w:t xml:space="preserve"> If not, please explain what transition method would be more appropriate and why.</w:t>
      </w:r>
    </w:p>
    <w:p w14:paraId="5AC7B505" w14:textId="77777777" w:rsidR="00B83688" w:rsidRDefault="00B83688" w:rsidP="005403FE">
      <w:pPr>
        <w:pStyle w:val="ListParagraph"/>
      </w:pPr>
    </w:p>
    <w:p w14:paraId="1F621AC7" w14:textId="0137139D" w:rsidR="00B83688" w:rsidRPr="005403FE" w:rsidRDefault="0062628D" w:rsidP="00B83688">
      <w:pPr>
        <w:ind w:left="720"/>
        <w:jc w:val="both"/>
        <w:rPr>
          <w:rFonts w:ascii="Times New Roman" w:hAnsi="Times New Roman"/>
        </w:rPr>
      </w:pPr>
      <w:r>
        <w:rPr>
          <w:rFonts w:ascii="Times New Roman" w:hAnsi="Times New Roman"/>
        </w:rPr>
        <w:t>We agree</w:t>
      </w:r>
      <w:r w:rsidR="00B83688" w:rsidRPr="005403FE">
        <w:rPr>
          <w:rFonts w:ascii="Times New Roman" w:hAnsi="Times New Roman"/>
        </w:rPr>
        <w:t>.</w:t>
      </w:r>
    </w:p>
    <w:p w14:paraId="549BF273" w14:textId="7E1B2627" w:rsidR="00B83688" w:rsidRPr="005403FE" w:rsidRDefault="0062628D" w:rsidP="00B83688">
      <w:pPr>
        <w:pStyle w:val="ListParagraph"/>
        <w:numPr>
          <w:ilvl w:val="0"/>
          <w:numId w:val="3"/>
        </w:numPr>
        <w:jc w:val="both"/>
        <w:rPr>
          <w:i/>
          <w:sz w:val="22"/>
          <w:szCs w:val="22"/>
        </w:rPr>
      </w:pPr>
      <w:r>
        <w:rPr>
          <w:i/>
          <w:sz w:val="22"/>
          <w:szCs w:val="22"/>
        </w:rPr>
        <w:t>Do you agree that an entity should be required to provide the transition disclosures specified in the proposed Update</w:t>
      </w:r>
      <w:r w:rsidR="00B83688" w:rsidRPr="005403FE">
        <w:rPr>
          <w:i/>
          <w:sz w:val="22"/>
          <w:szCs w:val="22"/>
        </w:rPr>
        <w:t>?</w:t>
      </w:r>
      <w:r>
        <w:rPr>
          <w:i/>
          <w:sz w:val="22"/>
          <w:szCs w:val="22"/>
        </w:rPr>
        <w:t xml:space="preserve"> Should any other transition disclosures be required? If so, please explain what transition disclosures should be required and why.</w:t>
      </w:r>
    </w:p>
    <w:p w14:paraId="05357760" w14:textId="77777777" w:rsidR="00B83688" w:rsidRDefault="00B83688" w:rsidP="005403FE">
      <w:pPr>
        <w:pStyle w:val="ListParagraph"/>
      </w:pPr>
    </w:p>
    <w:p w14:paraId="0D0BA5D3" w14:textId="23EF8D05" w:rsidR="00B83688" w:rsidRPr="005403FE" w:rsidRDefault="00B83688" w:rsidP="00B83688">
      <w:pPr>
        <w:ind w:left="720"/>
        <w:jc w:val="both"/>
        <w:rPr>
          <w:rFonts w:ascii="Times New Roman" w:hAnsi="Times New Roman"/>
        </w:rPr>
      </w:pPr>
      <w:r w:rsidRPr="005403FE">
        <w:rPr>
          <w:rFonts w:ascii="Times New Roman" w:hAnsi="Times New Roman"/>
        </w:rPr>
        <w:t>We</w:t>
      </w:r>
      <w:r w:rsidR="0062628D">
        <w:rPr>
          <w:rFonts w:ascii="Times New Roman" w:hAnsi="Times New Roman"/>
        </w:rPr>
        <w:t xml:space="preserve"> agree</w:t>
      </w:r>
      <w:r w:rsidR="00A257F0">
        <w:rPr>
          <w:rFonts w:ascii="Times New Roman" w:hAnsi="Times New Roman"/>
        </w:rPr>
        <w:t xml:space="preserve">.  </w:t>
      </w:r>
    </w:p>
    <w:p w14:paraId="3A535B9D" w14:textId="1401DEF5" w:rsidR="00B83688" w:rsidRPr="00C75626" w:rsidRDefault="004D0A66" w:rsidP="00B83688">
      <w:pPr>
        <w:pStyle w:val="ListParagraph"/>
        <w:numPr>
          <w:ilvl w:val="0"/>
          <w:numId w:val="3"/>
        </w:numPr>
        <w:jc w:val="both"/>
        <w:rPr>
          <w:i/>
          <w:sz w:val="22"/>
          <w:szCs w:val="22"/>
        </w:rPr>
      </w:pPr>
      <w:r w:rsidRPr="00C75626">
        <w:rPr>
          <w:i/>
          <w:sz w:val="22"/>
          <w:szCs w:val="22"/>
        </w:rPr>
        <w:t>How much</w:t>
      </w:r>
      <w:r w:rsidR="0062628D">
        <w:rPr>
          <w:i/>
          <w:sz w:val="22"/>
          <w:szCs w:val="22"/>
        </w:rPr>
        <w:t xml:space="preserve"> time will be necessary to implement the proposed amendments</w:t>
      </w:r>
      <w:r w:rsidRPr="00C75626">
        <w:rPr>
          <w:i/>
          <w:sz w:val="22"/>
          <w:szCs w:val="22"/>
        </w:rPr>
        <w:t>?</w:t>
      </w:r>
      <w:r w:rsidR="0062628D">
        <w:rPr>
          <w:i/>
          <w:sz w:val="22"/>
          <w:szCs w:val="22"/>
        </w:rPr>
        <w:t xml:space="preserve"> Do entities other than public business entities need additional time to apply the proposed amendments? Why or why not?</w:t>
      </w:r>
    </w:p>
    <w:p w14:paraId="668AAA00" w14:textId="77777777" w:rsidR="004D0A66" w:rsidRDefault="004D0A66" w:rsidP="00C75626">
      <w:pPr>
        <w:pStyle w:val="ListParagraph"/>
      </w:pPr>
    </w:p>
    <w:p w14:paraId="7AFEB6F7" w14:textId="228DC456" w:rsidR="004D0A66" w:rsidRPr="00C75626" w:rsidRDefault="00EC4ACA" w:rsidP="004D0A66">
      <w:pPr>
        <w:ind w:left="720"/>
        <w:jc w:val="both"/>
        <w:rPr>
          <w:rFonts w:ascii="Times New Roman" w:hAnsi="Times New Roman"/>
        </w:rPr>
      </w:pPr>
      <w:r w:rsidRPr="00C75626">
        <w:rPr>
          <w:rFonts w:ascii="Times New Roman" w:hAnsi="Times New Roman"/>
        </w:rPr>
        <w:t>We do not believe that entities will require a significant amount of time to adopt the proposed guidance</w:t>
      </w:r>
      <w:r w:rsidR="0062628D">
        <w:rPr>
          <w:rFonts w:ascii="Times New Roman" w:hAnsi="Times New Roman"/>
        </w:rPr>
        <w:t xml:space="preserve">. </w:t>
      </w:r>
      <w:r w:rsidRPr="00C75626">
        <w:rPr>
          <w:rFonts w:ascii="Times New Roman" w:hAnsi="Times New Roman"/>
        </w:rPr>
        <w:t>We do not believe that non-public business entities will require additional time to adopt the proposed guidance.</w:t>
      </w:r>
    </w:p>
    <w:p w14:paraId="1C926543" w14:textId="786F40A3" w:rsidR="0041745C" w:rsidRPr="00C75626" w:rsidRDefault="0062628D" w:rsidP="0041745C">
      <w:pPr>
        <w:pStyle w:val="ListParagraph"/>
        <w:numPr>
          <w:ilvl w:val="0"/>
          <w:numId w:val="3"/>
        </w:numPr>
        <w:jc w:val="both"/>
        <w:rPr>
          <w:i/>
          <w:sz w:val="22"/>
          <w:szCs w:val="22"/>
        </w:rPr>
      </w:pPr>
      <w:r>
        <w:rPr>
          <w:i/>
          <w:sz w:val="22"/>
          <w:szCs w:val="22"/>
        </w:rPr>
        <w:t>Should early adoption be allowed</w:t>
      </w:r>
      <w:r w:rsidR="0041745C" w:rsidRPr="00C75626">
        <w:rPr>
          <w:i/>
          <w:sz w:val="22"/>
          <w:szCs w:val="22"/>
        </w:rPr>
        <w:t>?</w:t>
      </w:r>
      <w:r>
        <w:rPr>
          <w:i/>
          <w:sz w:val="22"/>
          <w:szCs w:val="22"/>
        </w:rPr>
        <w:t xml:space="preserve"> Why or why not?</w:t>
      </w:r>
    </w:p>
    <w:p w14:paraId="73AF6DED" w14:textId="77777777" w:rsidR="0041745C" w:rsidRDefault="0041745C" w:rsidP="00C75626">
      <w:pPr>
        <w:pStyle w:val="ListParagraph"/>
      </w:pPr>
    </w:p>
    <w:p w14:paraId="0E4C3938" w14:textId="1F77D83B" w:rsidR="0041745C" w:rsidRPr="00C75626" w:rsidRDefault="0062628D" w:rsidP="0041745C">
      <w:pPr>
        <w:ind w:left="720"/>
        <w:jc w:val="both"/>
        <w:rPr>
          <w:rFonts w:ascii="Times New Roman" w:hAnsi="Times New Roman"/>
        </w:rPr>
      </w:pPr>
      <w:r>
        <w:rPr>
          <w:rFonts w:ascii="Times New Roman" w:hAnsi="Times New Roman"/>
        </w:rPr>
        <w:t>We believe that early adoption should be allowed</w:t>
      </w:r>
      <w:r w:rsidR="0041745C" w:rsidRPr="00C75626">
        <w:rPr>
          <w:rFonts w:ascii="Times New Roman" w:hAnsi="Times New Roman"/>
        </w:rPr>
        <w:t>.</w:t>
      </w:r>
      <w:r>
        <w:rPr>
          <w:rFonts w:ascii="Times New Roman" w:hAnsi="Times New Roman"/>
        </w:rPr>
        <w:t xml:space="preserve"> We believe that the proposed guidance, in addition to promoting consistency once all entities have adopted the proposed guidance, enhances transparency and provides meaningful information to financial statement users.</w:t>
      </w:r>
    </w:p>
    <w:p w14:paraId="41038BE4" w14:textId="77777777" w:rsidR="00913F17" w:rsidRDefault="00913F17" w:rsidP="007923B5">
      <w:pPr>
        <w:spacing w:after="0" w:line="240" w:lineRule="auto"/>
        <w:jc w:val="both"/>
        <w:rPr>
          <w:rFonts w:ascii="Times New Roman" w:hAnsi="Times New Roman"/>
        </w:rPr>
      </w:pPr>
    </w:p>
    <w:p w14:paraId="401A7582" w14:textId="77777777" w:rsidR="00C07D21" w:rsidRPr="00F21F08" w:rsidRDefault="00C07D21" w:rsidP="00C07D21">
      <w:pPr>
        <w:jc w:val="both"/>
        <w:rPr>
          <w:rFonts w:ascii="Times New Roman" w:hAnsi="Times New Roman"/>
        </w:rPr>
      </w:pPr>
      <w:r w:rsidRPr="00F21F08">
        <w:rPr>
          <w:rFonts w:ascii="Times New Roman" w:hAnsi="Times New Roman"/>
        </w:rPr>
        <w:t>We appreciate the opportunity to offer our comments.</w:t>
      </w:r>
    </w:p>
    <w:p w14:paraId="521AC13C" w14:textId="77777777" w:rsidR="00C07D21" w:rsidRPr="00F21F08" w:rsidRDefault="00C07D21" w:rsidP="00C07D21">
      <w:pPr>
        <w:jc w:val="both"/>
        <w:rPr>
          <w:rFonts w:ascii="Times New Roman" w:hAnsi="Times New Roman"/>
        </w:rPr>
      </w:pPr>
      <w:r w:rsidRPr="00F21F08">
        <w:rPr>
          <w:rFonts w:ascii="Times New Roman" w:hAnsi="Times New Roman"/>
        </w:rPr>
        <w:t>Sincerely,</w:t>
      </w:r>
    </w:p>
    <w:p w14:paraId="6773FFCC" w14:textId="77777777" w:rsidR="00C07D21" w:rsidRPr="00F21F08" w:rsidRDefault="00C07D21" w:rsidP="00C07D21">
      <w:pPr>
        <w:jc w:val="both"/>
        <w:rPr>
          <w:rFonts w:ascii="Times New Roman" w:hAnsi="Times New Roman"/>
        </w:rPr>
      </w:pPr>
    </w:p>
    <w:p w14:paraId="68292F9D" w14:textId="7E14DF09" w:rsidR="00C07D21" w:rsidRPr="00F21F08" w:rsidRDefault="0062628D" w:rsidP="00C07D21">
      <w:pPr>
        <w:rPr>
          <w:rFonts w:ascii="Times New Roman" w:hAnsi="Times New Roman"/>
        </w:rPr>
      </w:pPr>
      <w:r>
        <w:rPr>
          <w:rFonts w:ascii="Times New Roman" w:hAnsi="Times New Roman"/>
          <w:b/>
          <w:bCs/>
        </w:rPr>
        <w:t>Ryan Brady</w:t>
      </w:r>
      <w:r w:rsidR="00C07D21" w:rsidRPr="00F21F08">
        <w:rPr>
          <w:rFonts w:ascii="Times New Roman" w:hAnsi="Times New Roman"/>
          <w:b/>
          <w:bCs/>
        </w:rPr>
        <w:t>, CPA</w:t>
      </w:r>
      <w:r w:rsidR="00C07D21" w:rsidRPr="00F21F08">
        <w:rPr>
          <w:rFonts w:ascii="Times New Roman" w:hAnsi="Times New Roman"/>
        </w:rPr>
        <w:br/>
        <w:t>Chair, Accounting Principles Committee</w:t>
      </w:r>
    </w:p>
    <w:p w14:paraId="6E3198B2" w14:textId="77777777" w:rsidR="005838C5" w:rsidRDefault="0062628D" w:rsidP="005838C5">
      <w:pPr>
        <w:rPr>
          <w:rFonts w:ascii="Times New Roman" w:hAnsi="Times New Roman"/>
        </w:rPr>
      </w:pPr>
      <w:r>
        <w:rPr>
          <w:rFonts w:ascii="Times New Roman" w:hAnsi="Times New Roman"/>
          <w:b/>
          <w:bCs/>
        </w:rPr>
        <w:t>Brian Kot</w:t>
      </w:r>
      <w:r w:rsidR="00C07D21" w:rsidRPr="00F21F08">
        <w:rPr>
          <w:rFonts w:ascii="Times New Roman" w:hAnsi="Times New Roman"/>
          <w:b/>
          <w:bCs/>
        </w:rPr>
        <w:t>, CPA</w:t>
      </w:r>
      <w:r w:rsidR="00E83DC2">
        <w:rPr>
          <w:rFonts w:ascii="Times New Roman" w:hAnsi="Times New Roman"/>
        </w:rPr>
        <w:br/>
        <w:t>Vice C</w:t>
      </w:r>
      <w:r w:rsidR="00C07D21" w:rsidRPr="00F21F08">
        <w:rPr>
          <w:rFonts w:ascii="Times New Roman" w:hAnsi="Times New Roman"/>
        </w:rPr>
        <w:t>hair, Accounting Principles Committee</w:t>
      </w:r>
    </w:p>
    <w:p w14:paraId="2AF5DD4C" w14:textId="7FBBE803" w:rsidR="005838C5" w:rsidRPr="001077B6" w:rsidRDefault="00483CC0" w:rsidP="005838C5">
      <w:pPr>
        <w:jc w:val="center"/>
        <w:rPr>
          <w:sz w:val="18"/>
          <w:szCs w:val="18"/>
        </w:rPr>
      </w:pPr>
      <w:r>
        <w:br w:type="page"/>
      </w:r>
      <w:r w:rsidR="005838C5" w:rsidRPr="001077B6">
        <w:rPr>
          <w:sz w:val="18"/>
          <w:szCs w:val="18"/>
        </w:rPr>
        <w:lastRenderedPageBreak/>
        <w:t>APPENDIX A</w:t>
      </w:r>
    </w:p>
    <w:p w14:paraId="35376C73" w14:textId="77777777" w:rsidR="005838C5" w:rsidRPr="001077B6" w:rsidRDefault="005838C5" w:rsidP="005838C5">
      <w:pPr>
        <w:tabs>
          <w:tab w:val="center" w:pos="4680"/>
        </w:tabs>
        <w:suppressAutoHyphens/>
        <w:spacing w:after="0"/>
        <w:jc w:val="center"/>
        <w:rPr>
          <w:sz w:val="18"/>
          <w:szCs w:val="18"/>
        </w:rPr>
      </w:pPr>
      <w:r w:rsidRPr="001077B6">
        <w:rPr>
          <w:sz w:val="18"/>
          <w:szCs w:val="18"/>
        </w:rPr>
        <w:t>ACCOUNTING PRINCIPLES COMMITTEE</w:t>
      </w:r>
    </w:p>
    <w:p w14:paraId="2A484854" w14:textId="77777777" w:rsidR="005838C5" w:rsidRPr="001077B6" w:rsidRDefault="005838C5" w:rsidP="005838C5">
      <w:pPr>
        <w:tabs>
          <w:tab w:val="center" w:pos="4680"/>
        </w:tabs>
        <w:suppressAutoHyphens/>
        <w:spacing w:after="0"/>
        <w:jc w:val="center"/>
        <w:rPr>
          <w:sz w:val="18"/>
          <w:szCs w:val="18"/>
        </w:rPr>
      </w:pPr>
      <w:r w:rsidRPr="001077B6">
        <w:rPr>
          <w:sz w:val="18"/>
          <w:szCs w:val="18"/>
        </w:rPr>
        <w:t>ORGANIZATION AND OPERATING PROCEDURES</w:t>
      </w:r>
    </w:p>
    <w:p w14:paraId="320B7C1C" w14:textId="77777777" w:rsidR="005838C5" w:rsidRPr="001077B6" w:rsidRDefault="005838C5" w:rsidP="005838C5">
      <w:pPr>
        <w:tabs>
          <w:tab w:val="center" w:pos="4680"/>
        </w:tabs>
        <w:suppressAutoHyphens/>
        <w:spacing w:after="0"/>
        <w:jc w:val="center"/>
        <w:rPr>
          <w:sz w:val="18"/>
          <w:szCs w:val="18"/>
        </w:rPr>
      </w:pPr>
      <w:r w:rsidRPr="001077B6">
        <w:rPr>
          <w:sz w:val="18"/>
          <w:szCs w:val="18"/>
        </w:rPr>
        <w:t>201</w:t>
      </w:r>
      <w:r>
        <w:rPr>
          <w:sz w:val="18"/>
          <w:szCs w:val="18"/>
        </w:rPr>
        <w:t>6-2017</w:t>
      </w:r>
    </w:p>
    <w:p w14:paraId="7DA4FD7C" w14:textId="77777777" w:rsidR="005838C5" w:rsidRPr="001077B6" w:rsidRDefault="005838C5" w:rsidP="005838C5">
      <w:pPr>
        <w:tabs>
          <w:tab w:val="center" w:pos="4680"/>
        </w:tabs>
        <w:suppressAutoHyphens/>
        <w:spacing w:after="0"/>
        <w:jc w:val="center"/>
        <w:rPr>
          <w:sz w:val="24"/>
          <w:szCs w:val="24"/>
        </w:rPr>
      </w:pPr>
    </w:p>
    <w:p w14:paraId="3D9D6A8B" w14:textId="77777777" w:rsidR="005838C5" w:rsidRPr="00075D65" w:rsidRDefault="005838C5" w:rsidP="005838C5">
      <w:pPr>
        <w:jc w:val="both"/>
        <w:rPr>
          <w:spacing w:val="-3"/>
          <w:sz w:val="18"/>
          <w:szCs w:val="18"/>
        </w:rPr>
      </w:pPr>
      <w:r w:rsidRPr="001077B6">
        <w:rPr>
          <w:spacing w:val="-3"/>
          <w:sz w:val="18"/>
          <w:szCs w:val="18"/>
        </w:rPr>
        <w:t>The Accounting Principles Committee of the Illinois CPA Society (Committee) is composed of the following technically qualified, experienced members appointed from industry, education and public accounting.  These members have Committee service ranging from newly appointed to more than 20 years.  The Committee is an appointed senior technical committee of the Society and has been delegated the authority to issue written positions representing the Society on matters regarding the setting of accounting standards.  The Committee’s comments reflect solely the views of the Committee</w:t>
      </w:r>
      <w:r>
        <w:rPr>
          <w:spacing w:val="-3"/>
          <w:sz w:val="18"/>
          <w:szCs w:val="18"/>
        </w:rPr>
        <w:t xml:space="preserve"> </w:t>
      </w:r>
      <w:r w:rsidRPr="001077B6">
        <w:rPr>
          <w:spacing w:val="-3"/>
          <w:sz w:val="18"/>
          <w:szCs w:val="18"/>
        </w:rPr>
        <w:t>and do not purport to represent the views of their business affiliations</w:t>
      </w:r>
      <w:r w:rsidRPr="00075D65">
        <w:rPr>
          <w:spacing w:val="-3"/>
          <w:sz w:val="18"/>
          <w:szCs w:val="18"/>
        </w:rPr>
        <w:t xml:space="preserve">. </w:t>
      </w:r>
    </w:p>
    <w:p w14:paraId="5B0D30EF" w14:textId="77777777" w:rsidR="005838C5" w:rsidRPr="001077B6" w:rsidRDefault="005838C5" w:rsidP="005838C5">
      <w:pPr>
        <w:tabs>
          <w:tab w:val="left" w:pos="-720"/>
        </w:tabs>
        <w:suppressAutoHyphens/>
        <w:jc w:val="both"/>
        <w:rPr>
          <w:spacing w:val="-3"/>
          <w:sz w:val="18"/>
          <w:szCs w:val="18"/>
        </w:rPr>
      </w:pPr>
      <w:r w:rsidRPr="001077B6">
        <w:rPr>
          <w:spacing w:val="-3"/>
          <w:sz w:val="18"/>
          <w:szCs w:val="18"/>
        </w:rPr>
        <w:t>The Committee usually operates by assigning Subcommittees of its members to</w:t>
      </w:r>
      <w:r>
        <w:rPr>
          <w:spacing w:val="-3"/>
          <w:sz w:val="18"/>
          <w:szCs w:val="18"/>
        </w:rPr>
        <w:t xml:space="preserve"> fully study and discuss </w:t>
      </w:r>
      <w:r w:rsidRPr="001077B6">
        <w:rPr>
          <w:spacing w:val="-3"/>
          <w:sz w:val="18"/>
          <w:szCs w:val="18"/>
        </w:rPr>
        <w:t>exposure documents proposing additions to or revisions of accounting standards.  The Subcommittee ordinarily develops a proposed response that is considered, discussed and voted on by the full Committee.  Support by the full Committee then results in the issuance of a f</w:t>
      </w:r>
      <w:r>
        <w:rPr>
          <w:spacing w:val="-3"/>
          <w:sz w:val="18"/>
          <w:szCs w:val="18"/>
        </w:rPr>
        <w:t xml:space="preserve">ormal response, which at times </w:t>
      </w:r>
      <w:r w:rsidRPr="001077B6">
        <w:rPr>
          <w:spacing w:val="-3"/>
          <w:sz w:val="18"/>
          <w:szCs w:val="18"/>
        </w:rPr>
        <w:t>includes a minority viewpoint.  Current members of the Committee and their business affiliations are as follows:</w:t>
      </w:r>
    </w:p>
    <w:p w14:paraId="241B23E2" w14:textId="77777777" w:rsidR="005838C5" w:rsidRPr="001077B6" w:rsidRDefault="005838C5" w:rsidP="005838C5">
      <w:pPr>
        <w:tabs>
          <w:tab w:val="left" w:pos="-720"/>
        </w:tabs>
        <w:suppressAutoHyphens/>
        <w:spacing w:after="0"/>
        <w:jc w:val="both"/>
        <w:rPr>
          <w:b/>
          <w:spacing w:val="-3"/>
          <w:sz w:val="18"/>
          <w:szCs w:val="18"/>
        </w:rPr>
      </w:pPr>
      <w:r w:rsidRPr="001077B6">
        <w:rPr>
          <w:b/>
          <w:spacing w:val="-3"/>
          <w:sz w:val="18"/>
          <w:szCs w:val="18"/>
        </w:rPr>
        <w:t>Public Accounting Firms:</w:t>
      </w:r>
    </w:p>
    <w:p w14:paraId="403C4D86" w14:textId="77777777" w:rsidR="005838C5" w:rsidRPr="001077B6" w:rsidRDefault="005838C5" w:rsidP="005838C5">
      <w:pPr>
        <w:tabs>
          <w:tab w:val="left" w:pos="-720"/>
        </w:tabs>
        <w:suppressAutoHyphens/>
        <w:spacing w:after="0"/>
        <w:jc w:val="both"/>
        <w:rPr>
          <w:b/>
          <w:spacing w:val="-3"/>
          <w:sz w:val="18"/>
          <w:szCs w:val="18"/>
        </w:rPr>
      </w:pPr>
      <w:r w:rsidRPr="001077B6">
        <w:rPr>
          <w:b/>
          <w:spacing w:val="-3"/>
          <w:sz w:val="18"/>
          <w:szCs w:val="18"/>
        </w:rPr>
        <w:t xml:space="preserve">   Large:  </w:t>
      </w:r>
      <w:r w:rsidRPr="001077B6">
        <w:rPr>
          <w:spacing w:val="-3"/>
          <w:sz w:val="18"/>
          <w:szCs w:val="18"/>
        </w:rPr>
        <w:t>(national &amp; regional)</w:t>
      </w:r>
    </w:p>
    <w:p w14:paraId="6476DEE6" w14:textId="77777777" w:rsidR="005838C5" w:rsidRDefault="005838C5" w:rsidP="005838C5">
      <w:pPr>
        <w:tabs>
          <w:tab w:val="left" w:pos="-720"/>
          <w:tab w:val="left" w:pos="360"/>
          <w:tab w:val="left" w:pos="4230"/>
          <w:tab w:val="left" w:pos="4320"/>
        </w:tabs>
        <w:suppressAutoHyphens/>
        <w:spacing w:after="0"/>
        <w:jc w:val="both"/>
        <w:rPr>
          <w:spacing w:val="-3"/>
          <w:sz w:val="18"/>
          <w:szCs w:val="18"/>
        </w:rPr>
      </w:pPr>
      <w:r>
        <w:rPr>
          <w:spacing w:val="-3"/>
          <w:sz w:val="18"/>
          <w:szCs w:val="18"/>
        </w:rPr>
        <w:tab/>
        <w:t>Jared Bourgeois, CPA</w:t>
      </w:r>
      <w:r>
        <w:rPr>
          <w:spacing w:val="-3"/>
          <w:sz w:val="18"/>
          <w:szCs w:val="18"/>
        </w:rPr>
        <w:tab/>
      </w:r>
      <w:r>
        <w:rPr>
          <w:spacing w:val="-3"/>
          <w:sz w:val="18"/>
          <w:szCs w:val="18"/>
        </w:rPr>
        <w:tab/>
        <w:t xml:space="preserve">PricewaterhouseCoopers LLP </w:t>
      </w:r>
    </w:p>
    <w:p w14:paraId="3F5219DC" w14:textId="77777777" w:rsidR="005838C5" w:rsidRPr="00137076" w:rsidRDefault="005838C5" w:rsidP="005838C5">
      <w:pPr>
        <w:tabs>
          <w:tab w:val="left" w:pos="-720"/>
          <w:tab w:val="left" w:pos="360"/>
          <w:tab w:val="left" w:pos="4230"/>
          <w:tab w:val="left" w:pos="4320"/>
        </w:tabs>
        <w:suppressAutoHyphens/>
        <w:spacing w:after="0"/>
        <w:jc w:val="both"/>
        <w:rPr>
          <w:spacing w:val="-3"/>
          <w:sz w:val="18"/>
          <w:szCs w:val="18"/>
        </w:rPr>
      </w:pPr>
      <w:r>
        <w:rPr>
          <w:spacing w:val="-3"/>
          <w:sz w:val="18"/>
          <w:szCs w:val="18"/>
        </w:rPr>
        <w:tab/>
      </w:r>
      <w:r w:rsidRPr="00137076">
        <w:rPr>
          <w:spacing w:val="-3"/>
          <w:sz w:val="18"/>
          <w:szCs w:val="18"/>
        </w:rPr>
        <w:t>Ryan Brady, CPA</w:t>
      </w:r>
      <w:r>
        <w:rPr>
          <w:spacing w:val="-3"/>
          <w:sz w:val="18"/>
          <w:szCs w:val="18"/>
        </w:rPr>
        <w:t xml:space="preserve"> (Chair)</w:t>
      </w:r>
      <w:r w:rsidRPr="00137076">
        <w:rPr>
          <w:spacing w:val="-3"/>
          <w:sz w:val="18"/>
          <w:szCs w:val="18"/>
        </w:rPr>
        <w:tab/>
      </w:r>
      <w:r w:rsidRPr="00137076">
        <w:rPr>
          <w:spacing w:val="-3"/>
          <w:sz w:val="18"/>
          <w:szCs w:val="18"/>
        </w:rPr>
        <w:tab/>
        <w:t>Grant Thornton LLP</w:t>
      </w:r>
    </w:p>
    <w:p w14:paraId="4BB6F3DF" w14:textId="77777777" w:rsidR="005838C5" w:rsidRDefault="005838C5" w:rsidP="005838C5">
      <w:pPr>
        <w:tabs>
          <w:tab w:val="left" w:pos="-720"/>
          <w:tab w:val="left" w:pos="360"/>
          <w:tab w:val="left" w:pos="540"/>
          <w:tab w:val="left" w:pos="4140"/>
        </w:tabs>
        <w:suppressAutoHyphens/>
        <w:spacing w:after="0"/>
        <w:jc w:val="both"/>
        <w:rPr>
          <w:spacing w:val="-3"/>
          <w:sz w:val="18"/>
          <w:szCs w:val="18"/>
        </w:rPr>
      </w:pPr>
      <w:r>
        <w:rPr>
          <w:spacing w:val="-3"/>
          <w:sz w:val="18"/>
          <w:szCs w:val="18"/>
        </w:rPr>
        <w:tab/>
        <w:t>Rakesh Desai, CPA</w:t>
      </w:r>
      <w:r>
        <w:rPr>
          <w:spacing w:val="-3"/>
          <w:sz w:val="18"/>
          <w:szCs w:val="18"/>
        </w:rPr>
        <w:tab/>
      </w:r>
      <w:r>
        <w:rPr>
          <w:spacing w:val="-3"/>
          <w:sz w:val="18"/>
          <w:szCs w:val="18"/>
        </w:rPr>
        <w:tab/>
        <w:t>KPMG LLP</w:t>
      </w:r>
    </w:p>
    <w:p w14:paraId="44B6A1E1" w14:textId="77777777" w:rsidR="005838C5" w:rsidRPr="00137076" w:rsidRDefault="005838C5" w:rsidP="005838C5">
      <w:pPr>
        <w:tabs>
          <w:tab w:val="left" w:pos="-720"/>
          <w:tab w:val="left" w:pos="360"/>
          <w:tab w:val="left" w:pos="540"/>
          <w:tab w:val="left" w:pos="4140"/>
        </w:tabs>
        <w:suppressAutoHyphens/>
        <w:spacing w:after="0"/>
        <w:jc w:val="both"/>
        <w:rPr>
          <w:spacing w:val="-3"/>
          <w:sz w:val="18"/>
          <w:szCs w:val="18"/>
        </w:rPr>
      </w:pPr>
      <w:r>
        <w:rPr>
          <w:spacing w:val="-3"/>
          <w:sz w:val="18"/>
          <w:szCs w:val="18"/>
        </w:rPr>
        <w:tab/>
        <w:t>William Keirse, CPA</w:t>
      </w:r>
      <w:r>
        <w:rPr>
          <w:spacing w:val="-3"/>
          <w:sz w:val="18"/>
          <w:szCs w:val="18"/>
        </w:rPr>
        <w:tab/>
      </w:r>
      <w:r>
        <w:rPr>
          <w:spacing w:val="-3"/>
          <w:sz w:val="18"/>
          <w:szCs w:val="18"/>
        </w:rPr>
        <w:tab/>
        <w:t>Ernst &amp; Young LLP</w:t>
      </w:r>
    </w:p>
    <w:p w14:paraId="2D6D15D9" w14:textId="78DDC092" w:rsidR="005838C5" w:rsidRPr="00137076" w:rsidRDefault="005838C5" w:rsidP="005838C5">
      <w:pPr>
        <w:tabs>
          <w:tab w:val="left" w:pos="-720"/>
          <w:tab w:val="left" w:pos="180"/>
          <w:tab w:val="left" w:pos="4230"/>
        </w:tabs>
        <w:suppressAutoHyphens/>
        <w:ind w:left="180" w:hanging="360"/>
        <w:rPr>
          <w:spacing w:val="-3"/>
          <w:sz w:val="18"/>
          <w:szCs w:val="18"/>
        </w:rPr>
      </w:pPr>
      <w:r w:rsidRPr="00137076">
        <w:rPr>
          <w:spacing w:val="-3"/>
          <w:sz w:val="18"/>
          <w:szCs w:val="18"/>
        </w:rPr>
        <w:tab/>
      </w:r>
      <w:r>
        <w:rPr>
          <w:spacing w:val="-3"/>
          <w:sz w:val="18"/>
          <w:szCs w:val="18"/>
        </w:rPr>
        <w:t xml:space="preserve">     </w:t>
      </w:r>
      <w:r w:rsidRPr="00137076">
        <w:rPr>
          <w:spacing w:val="-3"/>
          <w:sz w:val="18"/>
          <w:szCs w:val="18"/>
        </w:rPr>
        <w:t xml:space="preserve">Scott Lehman, CPA </w:t>
      </w:r>
      <w:r w:rsidRPr="00137076">
        <w:rPr>
          <w:spacing w:val="-3"/>
          <w:sz w:val="18"/>
          <w:szCs w:val="18"/>
        </w:rPr>
        <w:tab/>
        <w:t xml:space="preserve">  </w:t>
      </w:r>
      <w:r w:rsidRPr="00137076">
        <w:rPr>
          <w:spacing w:val="-3"/>
          <w:sz w:val="18"/>
          <w:szCs w:val="18"/>
        </w:rPr>
        <w:tab/>
        <w:t>Crowe Horwath LLP</w:t>
      </w:r>
      <w:r>
        <w:rPr>
          <w:spacing w:val="-3"/>
          <w:sz w:val="18"/>
          <w:szCs w:val="18"/>
        </w:rPr>
        <w:br/>
        <w:t xml:space="preserve">     Reid Mitchell, CPA</w:t>
      </w:r>
      <w:r>
        <w:rPr>
          <w:spacing w:val="-3"/>
          <w:sz w:val="18"/>
          <w:szCs w:val="18"/>
        </w:rPr>
        <w:tab/>
        <w:t xml:space="preserve">  </w:t>
      </w:r>
      <w:proofErr w:type="spellStart"/>
      <w:r>
        <w:rPr>
          <w:spacing w:val="-3"/>
          <w:sz w:val="18"/>
          <w:szCs w:val="18"/>
        </w:rPr>
        <w:t>Wipfli</w:t>
      </w:r>
      <w:proofErr w:type="spellEnd"/>
      <w:r>
        <w:rPr>
          <w:spacing w:val="-3"/>
          <w:sz w:val="18"/>
          <w:szCs w:val="18"/>
        </w:rPr>
        <w:t xml:space="preserve"> LLP</w:t>
      </w:r>
      <w:r>
        <w:rPr>
          <w:spacing w:val="-3"/>
          <w:sz w:val="18"/>
          <w:szCs w:val="18"/>
        </w:rPr>
        <w:br/>
        <w:t xml:space="preserve">     </w:t>
      </w:r>
      <w:r w:rsidRPr="00137076">
        <w:rPr>
          <w:spacing w:val="-3"/>
          <w:sz w:val="18"/>
          <w:szCs w:val="18"/>
        </w:rPr>
        <w:t>Elizabeth  Prossnitz, CPA</w:t>
      </w:r>
      <w:r w:rsidRPr="00137076">
        <w:rPr>
          <w:spacing w:val="-3"/>
          <w:sz w:val="18"/>
          <w:szCs w:val="18"/>
        </w:rPr>
        <w:tab/>
      </w:r>
      <w:r w:rsidRPr="00137076">
        <w:rPr>
          <w:spacing w:val="-3"/>
          <w:sz w:val="18"/>
          <w:szCs w:val="18"/>
        </w:rPr>
        <w:tab/>
        <w:t>BDO USA LLP</w:t>
      </w:r>
      <w:r w:rsidRPr="00137076">
        <w:rPr>
          <w:spacing w:val="-3"/>
          <w:sz w:val="18"/>
          <w:szCs w:val="18"/>
        </w:rPr>
        <w:tab/>
      </w:r>
      <w:r>
        <w:rPr>
          <w:spacing w:val="-3"/>
          <w:sz w:val="18"/>
          <w:szCs w:val="18"/>
        </w:rPr>
        <w:br/>
      </w:r>
      <w:r w:rsidRPr="00137076">
        <w:rPr>
          <w:b/>
          <w:spacing w:val="-3"/>
          <w:sz w:val="18"/>
          <w:szCs w:val="18"/>
        </w:rPr>
        <w:t xml:space="preserve">Medium:  </w:t>
      </w:r>
      <w:r w:rsidRPr="00137076">
        <w:rPr>
          <w:spacing w:val="-3"/>
          <w:sz w:val="18"/>
          <w:szCs w:val="18"/>
        </w:rPr>
        <w:t>(more than 40 professionals)</w:t>
      </w:r>
      <w:r>
        <w:rPr>
          <w:spacing w:val="-3"/>
          <w:sz w:val="18"/>
          <w:szCs w:val="18"/>
        </w:rPr>
        <w:br/>
      </w:r>
      <w:r w:rsidRPr="00137076">
        <w:rPr>
          <w:spacing w:val="-3"/>
          <w:sz w:val="18"/>
          <w:szCs w:val="18"/>
        </w:rPr>
        <w:t xml:space="preserve">     Timothy Bellazzini, CPA</w:t>
      </w:r>
      <w:r w:rsidRPr="00137076">
        <w:rPr>
          <w:spacing w:val="-3"/>
          <w:sz w:val="18"/>
          <w:szCs w:val="18"/>
        </w:rPr>
        <w:tab/>
      </w:r>
      <w:r w:rsidRPr="00137076">
        <w:rPr>
          <w:spacing w:val="-3"/>
          <w:sz w:val="18"/>
          <w:szCs w:val="18"/>
        </w:rPr>
        <w:tab/>
      </w:r>
      <w:proofErr w:type="spellStart"/>
      <w:r w:rsidRPr="00137076">
        <w:rPr>
          <w:spacing w:val="-3"/>
          <w:sz w:val="18"/>
          <w:szCs w:val="18"/>
        </w:rPr>
        <w:t>Sikich</w:t>
      </w:r>
      <w:proofErr w:type="spellEnd"/>
      <w:r w:rsidRPr="00137076">
        <w:rPr>
          <w:spacing w:val="-3"/>
          <w:sz w:val="18"/>
          <w:szCs w:val="18"/>
        </w:rPr>
        <w:t xml:space="preserve"> LLP</w:t>
      </w:r>
      <w:r w:rsidRPr="00137076">
        <w:rPr>
          <w:spacing w:val="-3"/>
          <w:sz w:val="18"/>
          <w:szCs w:val="18"/>
        </w:rPr>
        <w:br/>
        <w:t xml:space="preserve">     Michael Kidd, CPA</w:t>
      </w:r>
      <w:r w:rsidRPr="00137076">
        <w:rPr>
          <w:spacing w:val="-3"/>
          <w:sz w:val="18"/>
          <w:szCs w:val="18"/>
        </w:rPr>
        <w:tab/>
      </w:r>
      <w:r w:rsidRPr="00137076">
        <w:rPr>
          <w:spacing w:val="-3"/>
          <w:sz w:val="18"/>
          <w:szCs w:val="18"/>
        </w:rPr>
        <w:tab/>
        <w:t xml:space="preserve">Mowery &amp; </w:t>
      </w:r>
      <w:proofErr w:type="spellStart"/>
      <w:r w:rsidRPr="00137076">
        <w:rPr>
          <w:spacing w:val="-3"/>
          <w:sz w:val="18"/>
          <w:szCs w:val="18"/>
        </w:rPr>
        <w:t>Schoenfeld</w:t>
      </w:r>
      <w:proofErr w:type="spellEnd"/>
      <w:r w:rsidRPr="00137076">
        <w:rPr>
          <w:spacing w:val="-3"/>
          <w:sz w:val="18"/>
          <w:szCs w:val="18"/>
        </w:rPr>
        <w:t xml:space="preserve"> LLC</w:t>
      </w:r>
      <w:r>
        <w:rPr>
          <w:spacing w:val="-3"/>
          <w:sz w:val="18"/>
          <w:szCs w:val="18"/>
        </w:rPr>
        <w:br/>
        <w:t xml:space="preserve">     Matthew Mitzen, CPA</w:t>
      </w:r>
      <w:r>
        <w:rPr>
          <w:spacing w:val="-3"/>
          <w:sz w:val="18"/>
          <w:szCs w:val="18"/>
        </w:rPr>
        <w:tab/>
        <w:t xml:space="preserve">  Marcum LLP</w:t>
      </w:r>
      <w:r>
        <w:rPr>
          <w:spacing w:val="-3"/>
          <w:sz w:val="18"/>
          <w:szCs w:val="18"/>
        </w:rPr>
        <w:br/>
      </w:r>
      <w:r w:rsidRPr="00137076">
        <w:rPr>
          <w:snapToGrid w:val="0"/>
          <w:color w:val="000000"/>
          <w:sz w:val="18"/>
          <w:szCs w:val="18"/>
        </w:rPr>
        <w:t xml:space="preserve">    Jeffery Watson, CPA </w:t>
      </w:r>
      <w:r w:rsidRPr="00137076">
        <w:rPr>
          <w:snapToGrid w:val="0"/>
          <w:color w:val="000000"/>
          <w:sz w:val="18"/>
          <w:szCs w:val="18"/>
        </w:rPr>
        <w:tab/>
      </w:r>
      <w:r w:rsidRPr="00137076">
        <w:rPr>
          <w:snapToGrid w:val="0"/>
          <w:color w:val="000000"/>
          <w:sz w:val="18"/>
          <w:szCs w:val="18"/>
        </w:rPr>
        <w:tab/>
      </w:r>
      <w:r w:rsidRPr="00137076">
        <w:rPr>
          <w:bCs/>
          <w:sz w:val="18"/>
          <w:szCs w:val="18"/>
        </w:rPr>
        <w:t>Miller Cooper &amp; Company Ltd</w:t>
      </w:r>
      <w:r w:rsidRPr="00137076">
        <w:rPr>
          <w:spacing w:val="-3"/>
          <w:sz w:val="18"/>
          <w:szCs w:val="18"/>
        </w:rPr>
        <w:br/>
      </w:r>
      <w:r w:rsidRPr="00137076">
        <w:rPr>
          <w:b/>
          <w:spacing w:val="-3"/>
          <w:sz w:val="18"/>
          <w:szCs w:val="18"/>
        </w:rPr>
        <w:t xml:space="preserve">Small: </w:t>
      </w:r>
      <w:r w:rsidRPr="00137076">
        <w:rPr>
          <w:spacing w:val="-3"/>
          <w:sz w:val="18"/>
          <w:szCs w:val="18"/>
        </w:rPr>
        <w:t>(less than 40 professionals)</w:t>
      </w:r>
      <w:r w:rsidRPr="00137076">
        <w:rPr>
          <w:spacing w:val="-3"/>
          <w:sz w:val="18"/>
          <w:szCs w:val="18"/>
        </w:rPr>
        <w:br/>
        <w:t xml:space="preserve">     Peggy Brady, CPA</w:t>
      </w:r>
      <w:r w:rsidRPr="00137076">
        <w:rPr>
          <w:spacing w:val="-3"/>
          <w:sz w:val="18"/>
          <w:szCs w:val="18"/>
        </w:rPr>
        <w:tab/>
      </w:r>
      <w:r w:rsidRPr="00137076">
        <w:rPr>
          <w:spacing w:val="-3"/>
          <w:sz w:val="18"/>
          <w:szCs w:val="18"/>
        </w:rPr>
        <w:tab/>
        <w:t>Selden Fox, Ltd.</w:t>
      </w:r>
      <w:r w:rsidRPr="00137076">
        <w:rPr>
          <w:spacing w:val="-3"/>
          <w:sz w:val="18"/>
          <w:szCs w:val="18"/>
        </w:rPr>
        <w:br/>
        <w:t xml:space="preserve">     Marvin Hoffman, CPA </w:t>
      </w:r>
      <w:r w:rsidRPr="00137076">
        <w:rPr>
          <w:spacing w:val="-3"/>
          <w:sz w:val="18"/>
          <w:szCs w:val="18"/>
        </w:rPr>
        <w:tab/>
      </w:r>
      <w:r w:rsidRPr="00137076">
        <w:rPr>
          <w:spacing w:val="-3"/>
          <w:sz w:val="18"/>
          <w:szCs w:val="18"/>
        </w:rPr>
        <w:tab/>
        <w:t xml:space="preserve">Bronswick, </w:t>
      </w:r>
      <w:proofErr w:type="spellStart"/>
      <w:r w:rsidRPr="00137076">
        <w:rPr>
          <w:spacing w:val="-3"/>
          <w:sz w:val="18"/>
          <w:szCs w:val="18"/>
        </w:rPr>
        <w:t>Reicin</w:t>
      </w:r>
      <w:proofErr w:type="spellEnd"/>
      <w:r w:rsidRPr="00137076">
        <w:rPr>
          <w:spacing w:val="-3"/>
          <w:sz w:val="18"/>
          <w:szCs w:val="18"/>
        </w:rPr>
        <w:t>, Pollack, Ltd</w:t>
      </w:r>
      <w:bookmarkStart w:id="0" w:name="_GoBack"/>
      <w:bookmarkEnd w:id="0"/>
      <w:r w:rsidRPr="00137076">
        <w:rPr>
          <w:spacing w:val="-3"/>
          <w:sz w:val="18"/>
          <w:szCs w:val="18"/>
        </w:rPr>
        <w:t xml:space="preserve">. </w:t>
      </w:r>
      <w:r w:rsidRPr="00137076">
        <w:rPr>
          <w:spacing w:val="-3"/>
          <w:sz w:val="18"/>
          <w:szCs w:val="18"/>
        </w:rPr>
        <w:br/>
        <w:t xml:space="preserve">     Brian Kot, CPA</w:t>
      </w:r>
      <w:r>
        <w:rPr>
          <w:spacing w:val="-3"/>
          <w:sz w:val="18"/>
          <w:szCs w:val="18"/>
        </w:rPr>
        <w:t xml:space="preserve"> (Vice Chair)</w:t>
      </w:r>
      <w:r w:rsidRPr="00137076">
        <w:rPr>
          <w:spacing w:val="-3"/>
          <w:sz w:val="18"/>
          <w:szCs w:val="18"/>
        </w:rPr>
        <w:tab/>
      </w:r>
      <w:r w:rsidRPr="00137076">
        <w:rPr>
          <w:spacing w:val="-3"/>
          <w:sz w:val="18"/>
          <w:szCs w:val="18"/>
        </w:rPr>
        <w:tab/>
        <w:t>Cray Kaiser Ltd CPAs</w:t>
      </w:r>
      <w:r>
        <w:rPr>
          <w:spacing w:val="-3"/>
          <w:sz w:val="18"/>
          <w:szCs w:val="18"/>
        </w:rPr>
        <w:br/>
        <w:t xml:space="preserve">     </w:t>
      </w:r>
      <w:r w:rsidRPr="00137076">
        <w:rPr>
          <w:spacing w:val="-3"/>
          <w:sz w:val="18"/>
          <w:szCs w:val="18"/>
        </w:rPr>
        <w:t>Joshua  Lance, CPA</w:t>
      </w:r>
      <w:r w:rsidRPr="00137076">
        <w:rPr>
          <w:spacing w:val="-3"/>
          <w:sz w:val="18"/>
          <w:szCs w:val="18"/>
        </w:rPr>
        <w:tab/>
      </w:r>
      <w:r w:rsidRPr="009037C2">
        <w:rPr>
          <w:spacing w:val="-3"/>
          <w:sz w:val="18"/>
          <w:szCs w:val="18"/>
        </w:rPr>
        <w:t xml:space="preserve">  </w:t>
      </w:r>
      <w:r w:rsidRPr="009037C2">
        <w:rPr>
          <w:spacing w:val="-3"/>
          <w:sz w:val="18"/>
          <w:szCs w:val="18"/>
        </w:rPr>
        <w:tab/>
      </w:r>
      <w:r w:rsidRPr="009037C2">
        <w:rPr>
          <w:sz w:val="18"/>
          <w:szCs w:val="18"/>
        </w:rPr>
        <w:t>Joshua Lance CPA, LLC</w:t>
      </w:r>
    </w:p>
    <w:p w14:paraId="4CEBE8E4" w14:textId="77777777" w:rsidR="005838C5" w:rsidRDefault="005838C5" w:rsidP="005838C5">
      <w:pPr>
        <w:tabs>
          <w:tab w:val="left" w:pos="-720"/>
        </w:tabs>
        <w:suppressAutoHyphens/>
        <w:spacing w:after="0"/>
        <w:jc w:val="both"/>
        <w:rPr>
          <w:b/>
          <w:spacing w:val="-3"/>
          <w:sz w:val="18"/>
          <w:szCs w:val="18"/>
        </w:rPr>
      </w:pPr>
      <w:r>
        <w:rPr>
          <w:b/>
          <w:spacing w:val="-3"/>
          <w:sz w:val="18"/>
          <w:szCs w:val="18"/>
        </w:rPr>
        <w:t>Educators:</w:t>
      </w:r>
    </w:p>
    <w:p w14:paraId="11526279" w14:textId="77777777" w:rsidR="005838C5" w:rsidRPr="00137076" w:rsidRDefault="005838C5" w:rsidP="005838C5">
      <w:pPr>
        <w:tabs>
          <w:tab w:val="left" w:pos="-720"/>
          <w:tab w:val="left" w:pos="360"/>
          <w:tab w:val="left" w:pos="4230"/>
          <w:tab w:val="left" w:pos="4320"/>
        </w:tabs>
        <w:suppressAutoHyphens/>
        <w:spacing w:after="0"/>
        <w:ind w:left="360"/>
        <w:jc w:val="both"/>
        <w:rPr>
          <w:spacing w:val="-3"/>
          <w:sz w:val="18"/>
          <w:szCs w:val="18"/>
        </w:rPr>
      </w:pPr>
      <w:r w:rsidRPr="00137076">
        <w:rPr>
          <w:spacing w:val="-3"/>
          <w:sz w:val="18"/>
          <w:szCs w:val="18"/>
        </w:rPr>
        <w:t>John Hepp, CPA</w:t>
      </w:r>
      <w:r>
        <w:rPr>
          <w:spacing w:val="-3"/>
          <w:sz w:val="18"/>
          <w:szCs w:val="18"/>
        </w:rPr>
        <w:tab/>
      </w:r>
      <w:r>
        <w:rPr>
          <w:spacing w:val="-3"/>
          <w:sz w:val="18"/>
          <w:szCs w:val="18"/>
        </w:rPr>
        <w:tab/>
        <w:t>University of Illinois at Urbana-Champaign</w:t>
      </w:r>
      <w:r w:rsidRPr="00137076">
        <w:rPr>
          <w:spacing w:val="-3"/>
          <w:sz w:val="18"/>
          <w:szCs w:val="18"/>
        </w:rPr>
        <w:tab/>
      </w:r>
      <w:r w:rsidRPr="00137076">
        <w:rPr>
          <w:spacing w:val="-3"/>
          <w:sz w:val="18"/>
          <w:szCs w:val="18"/>
        </w:rPr>
        <w:tab/>
      </w:r>
    </w:p>
    <w:p w14:paraId="20988829" w14:textId="77777777" w:rsidR="005838C5" w:rsidRDefault="005838C5" w:rsidP="005838C5">
      <w:pPr>
        <w:tabs>
          <w:tab w:val="left" w:pos="-720"/>
        </w:tabs>
        <w:suppressAutoHyphens/>
        <w:spacing w:after="0"/>
        <w:jc w:val="both"/>
        <w:rPr>
          <w:b/>
          <w:spacing w:val="-3"/>
          <w:sz w:val="18"/>
          <w:szCs w:val="18"/>
        </w:rPr>
      </w:pPr>
    </w:p>
    <w:p w14:paraId="16AC5C52" w14:textId="77777777" w:rsidR="005838C5" w:rsidRPr="00137076" w:rsidRDefault="005838C5" w:rsidP="005838C5">
      <w:pPr>
        <w:tabs>
          <w:tab w:val="left" w:pos="-720"/>
        </w:tabs>
        <w:suppressAutoHyphens/>
        <w:spacing w:after="0"/>
        <w:jc w:val="both"/>
        <w:rPr>
          <w:b/>
          <w:spacing w:val="-3"/>
          <w:sz w:val="18"/>
          <w:szCs w:val="18"/>
        </w:rPr>
      </w:pPr>
      <w:r w:rsidRPr="00137076">
        <w:rPr>
          <w:b/>
          <w:spacing w:val="-3"/>
          <w:sz w:val="18"/>
          <w:szCs w:val="18"/>
        </w:rPr>
        <w:t>Industry:</w:t>
      </w:r>
    </w:p>
    <w:p w14:paraId="6D5E7DF1" w14:textId="77777777" w:rsidR="005838C5" w:rsidRPr="00137076" w:rsidRDefault="005838C5" w:rsidP="005838C5">
      <w:pPr>
        <w:tabs>
          <w:tab w:val="left" w:pos="-720"/>
          <w:tab w:val="left" w:pos="360"/>
          <w:tab w:val="left" w:pos="4140"/>
          <w:tab w:val="left" w:pos="4230"/>
        </w:tabs>
        <w:suppressAutoHyphens/>
        <w:spacing w:after="0"/>
        <w:jc w:val="both"/>
        <w:rPr>
          <w:spacing w:val="-3"/>
          <w:sz w:val="18"/>
          <w:szCs w:val="18"/>
        </w:rPr>
      </w:pPr>
      <w:r w:rsidRPr="00137076">
        <w:rPr>
          <w:b/>
          <w:spacing w:val="-3"/>
          <w:sz w:val="18"/>
          <w:szCs w:val="18"/>
        </w:rPr>
        <w:tab/>
      </w:r>
      <w:r w:rsidRPr="00137076">
        <w:rPr>
          <w:spacing w:val="-3"/>
          <w:sz w:val="18"/>
          <w:szCs w:val="18"/>
        </w:rPr>
        <w:t>Rose Cammarata, CPA</w:t>
      </w:r>
      <w:r w:rsidRPr="00137076">
        <w:rPr>
          <w:spacing w:val="-3"/>
          <w:sz w:val="18"/>
          <w:szCs w:val="18"/>
        </w:rPr>
        <w:tab/>
      </w:r>
      <w:r w:rsidRPr="00137076">
        <w:rPr>
          <w:spacing w:val="-3"/>
          <w:sz w:val="18"/>
          <w:szCs w:val="18"/>
        </w:rPr>
        <w:tab/>
      </w:r>
      <w:r w:rsidRPr="00137076">
        <w:rPr>
          <w:spacing w:val="-3"/>
          <w:sz w:val="18"/>
          <w:szCs w:val="18"/>
        </w:rPr>
        <w:tab/>
        <w:t>CME Group Inc.</w:t>
      </w:r>
    </w:p>
    <w:p w14:paraId="5D1283AE" w14:textId="77777777" w:rsidR="005838C5" w:rsidRDefault="005838C5" w:rsidP="005838C5">
      <w:pPr>
        <w:tabs>
          <w:tab w:val="left" w:pos="-720"/>
          <w:tab w:val="left" w:pos="360"/>
          <w:tab w:val="left" w:pos="4140"/>
          <w:tab w:val="left" w:pos="4230"/>
        </w:tabs>
        <w:suppressAutoHyphens/>
        <w:spacing w:after="0"/>
        <w:jc w:val="both"/>
        <w:rPr>
          <w:spacing w:val="-3"/>
          <w:sz w:val="18"/>
          <w:szCs w:val="18"/>
        </w:rPr>
      </w:pPr>
      <w:r>
        <w:rPr>
          <w:spacing w:val="-3"/>
          <w:sz w:val="18"/>
          <w:szCs w:val="18"/>
        </w:rPr>
        <w:tab/>
        <w:t>Ashlee Earl, CPA</w:t>
      </w:r>
      <w:r>
        <w:rPr>
          <w:spacing w:val="-3"/>
          <w:sz w:val="18"/>
          <w:szCs w:val="18"/>
        </w:rPr>
        <w:tab/>
      </w:r>
      <w:r>
        <w:rPr>
          <w:spacing w:val="-3"/>
          <w:sz w:val="18"/>
          <w:szCs w:val="18"/>
        </w:rPr>
        <w:tab/>
      </w:r>
      <w:r>
        <w:rPr>
          <w:spacing w:val="-3"/>
          <w:sz w:val="18"/>
          <w:szCs w:val="18"/>
        </w:rPr>
        <w:tab/>
        <w:t>Seaway Bank and Trust Company</w:t>
      </w:r>
    </w:p>
    <w:p w14:paraId="2A52913D" w14:textId="77777777" w:rsidR="005838C5" w:rsidRDefault="005838C5" w:rsidP="005838C5">
      <w:pPr>
        <w:tabs>
          <w:tab w:val="left" w:pos="-720"/>
          <w:tab w:val="left" w:pos="360"/>
          <w:tab w:val="left" w:pos="4140"/>
          <w:tab w:val="left" w:pos="4230"/>
        </w:tabs>
        <w:suppressAutoHyphens/>
        <w:spacing w:after="0"/>
        <w:jc w:val="both"/>
        <w:rPr>
          <w:spacing w:val="-3"/>
          <w:sz w:val="18"/>
          <w:szCs w:val="18"/>
        </w:rPr>
      </w:pPr>
      <w:r>
        <w:rPr>
          <w:spacing w:val="-3"/>
          <w:sz w:val="18"/>
          <w:szCs w:val="18"/>
        </w:rPr>
        <w:tab/>
        <w:t>Jeffrey Ellis, CPA</w:t>
      </w:r>
      <w:r>
        <w:rPr>
          <w:spacing w:val="-3"/>
          <w:sz w:val="18"/>
          <w:szCs w:val="18"/>
        </w:rPr>
        <w:tab/>
      </w:r>
      <w:r>
        <w:rPr>
          <w:spacing w:val="-3"/>
          <w:sz w:val="18"/>
          <w:szCs w:val="18"/>
        </w:rPr>
        <w:tab/>
      </w:r>
      <w:r>
        <w:rPr>
          <w:spacing w:val="-3"/>
          <w:sz w:val="18"/>
          <w:szCs w:val="18"/>
        </w:rPr>
        <w:tab/>
        <w:t xml:space="preserve">FTI Consulting, Inc. </w:t>
      </w:r>
      <w:r w:rsidRPr="00137076">
        <w:rPr>
          <w:spacing w:val="-3"/>
          <w:sz w:val="18"/>
          <w:szCs w:val="18"/>
        </w:rPr>
        <w:tab/>
      </w:r>
    </w:p>
    <w:p w14:paraId="3C9AA1A2" w14:textId="77777777" w:rsidR="005838C5" w:rsidRPr="00137076" w:rsidRDefault="005838C5" w:rsidP="005838C5">
      <w:pPr>
        <w:tabs>
          <w:tab w:val="left" w:pos="-720"/>
          <w:tab w:val="left" w:pos="360"/>
          <w:tab w:val="left" w:pos="4140"/>
          <w:tab w:val="left" w:pos="4230"/>
        </w:tabs>
        <w:suppressAutoHyphens/>
        <w:spacing w:after="0"/>
        <w:jc w:val="both"/>
        <w:rPr>
          <w:spacing w:val="-3"/>
          <w:sz w:val="18"/>
          <w:szCs w:val="18"/>
        </w:rPr>
      </w:pPr>
      <w:r>
        <w:rPr>
          <w:spacing w:val="-3"/>
          <w:sz w:val="18"/>
          <w:szCs w:val="18"/>
        </w:rPr>
        <w:tab/>
        <w:t>Christopher Hamm, CPA</w:t>
      </w:r>
      <w:r>
        <w:rPr>
          <w:spacing w:val="-3"/>
          <w:sz w:val="18"/>
          <w:szCs w:val="18"/>
        </w:rPr>
        <w:tab/>
      </w:r>
      <w:r>
        <w:rPr>
          <w:spacing w:val="-3"/>
          <w:sz w:val="18"/>
          <w:szCs w:val="18"/>
        </w:rPr>
        <w:tab/>
      </w:r>
      <w:r>
        <w:rPr>
          <w:spacing w:val="-3"/>
          <w:sz w:val="18"/>
          <w:szCs w:val="18"/>
        </w:rPr>
        <w:tab/>
      </w:r>
      <w:proofErr w:type="spellStart"/>
      <w:r>
        <w:rPr>
          <w:spacing w:val="-3"/>
          <w:sz w:val="18"/>
          <w:szCs w:val="18"/>
        </w:rPr>
        <w:t>Artex</w:t>
      </w:r>
      <w:proofErr w:type="spellEnd"/>
      <w:r>
        <w:rPr>
          <w:spacing w:val="-3"/>
          <w:sz w:val="18"/>
          <w:szCs w:val="18"/>
        </w:rPr>
        <w:t xml:space="preserve"> Risk Solutions, Inc. </w:t>
      </w:r>
    </w:p>
    <w:p w14:paraId="1337A0D7" w14:textId="7A0E74EA" w:rsidR="005838C5" w:rsidRPr="00137076" w:rsidRDefault="005838C5" w:rsidP="005838C5">
      <w:pPr>
        <w:ind w:left="360"/>
        <w:rPr>
          <w:spacing w:val="-3"/>
          <w:sz w:val="18"/>
          <w:szCs w:val="18"/>
        </w:rPr>
      </w:pPr>
      <w:proofErr w:type="gramStart"/>
      <w:r w:rsidRPr="00137076">
        <w:rPr>
          <w:spacing w:val="-3"/>
          <w:sz w:val="18"/>
          <w:szCs w:val="18"/>
        </w:rPr>
        <w:t>Marianne  Lorenz</w:t>
      </w:r>
      <w:proofErr w:type="gramEnd"/>
      <w:r w:rsidRPr="00137076">
        <w:rPr>
          <w:spacing w:val="-3"/>
          <w:sz w:val="18"/>
          <w:szCs w:val="18"/>
        </w:rPr>
        <w:t>, CPA</w:t>
      </w:r>
      <w:r w:rsidRPr="00137076">
        <w:rPr>
          <w:spacing w:val="-3"/>
          <w:sz w:val="18"/>
          <w:szCs w:val="18"/>
        </w:rPr>
        <w:tab/>
      </w:r>
      <w:r w:rsidRPr="00137076">
        <w:rPr>
          <w:spacing w:val="-3"/>
          <w:sz w:val="18"/>
          <w:szCs w:val="18"/>
        </w:rPr>
        <w:tab/>
        <w:t xml:space="preserve">               </w:t>
      </w:r>
      <w:r w:rsidRPr="00137076">
        <w:rPr>
          <w:spacing w:val="-3"/>
          <w:sz w:val="18"/>
          <w:szCs w:val="18"/>
        </w:rPr>
        <w:tab/>
        <w:t xml:space="preserve">               </w:t>
      </w:r>
      <w:r w:rsidRPr="00137076">
        <w:rPr>
          <w:spacing w:val="-3"/>
          <w:sz w:val="18"/>
          <w:szCs w:val="18"/>
        </w:rPr>
        <w:tab/>
        <w:t>AGL Resources Inc.</w:t>
      </w:r>
      <w:r w:rsidRPr="00137076">
        <w:rPr>
          <w:spacing w:val="-3"/>
          <w:sz w:val="18"/>
          <w:szCs w:val="18"/>
        </w:rPr>
        <w:br/>
        <w:t>Michael  Maffei, CPA</w:t>
      </w:r>
      <w:r w:rsidRPr="00137076">
        <w:rPr>
          <w:spacing w:val="-3"/>
          <w:sz w:val="18"/>
          <w:szCs w:val="18"/>
        </w:rPr>
        <w:tab/>
        <w:t xml:space="preserve"> </w:t>
      </w:r>
      <w:r w:rsidRPr="00137076">
        <w:rPr>
          <w:spacing w:val="-3"/>
          <w:sz w:val="18"/>
          <w:szCs w:val="18"/>
        </w:rPr>
        <w:tab/>
      </w:r>
      <w:r w:rsidRPr="00137076">
        <w:rPr>
          <w:spacing w:val="-3"/>
          <w:sz w:val="18"/>
          <w:szCs w:val="18"/>
        </w:rPr>
        <w:tab/>
        <w:t xml:space="preserve">               </w:t>
      </w:r>
      <w:r w:rsidRPr="00137076">
        <w:rPr>
          <w:spacing w:val="-3"/>
          <w:sz w:val="18"/>
          <w:szCs w:val="18"/>
        </w:rPr>
        <w:tab/>
        <w:t>GATX Corporation</w:t>
      </w:r>
      <w:r>
        <w:rPr>
          <w:spacing w:val="-3"/>
          <w:sz w:val="18"/>
          <w:szCs w:val="18"/>
        </w:rPr>
        <w:br/>
        <w:t>Joshua Shenton, CPA</w:t>
      </w:r>
      <w:r>
        <w:rPr>
          <w:spacing w:val="-3"/>
          <w:sz w:val="18"/>
          <w:szCs w:val="18"/>
        </w:rPr>
        <w:tab/>
      </w:r>
      <w:r>
        <w:rPr>
          <w:spacing w:val="-3"/>
          <w:sz w:val="18"/>
          <w:szCs w:val="18"/>
        </w:rPr>
        <w:tab/>
      </w:r>
      <w:r>
        <w:rPr>
          <w:spacing w:val="-3"/>
          <w:sz w:val="18"/>
          <w:szCs w:val="18"/>
        </w:rPr>
        <w:tab/>
      </w:r>
      <w:r>
        <w:rPr>
          <w:spacing w:val="-3"/>
          <w:sz w:val="18"/>
          <w:szCs w:val="18"/>
        </w:rPr>
        <w:tab/>
        <w:t xml:space="preserve">Northern Trust Corp. </w:t>
      </w:r>
      <w:r>
        <w:rPr>
          <w:spacing w:val="-3"/>
          <w:sz w:val="18"/>
          <w:szCs w:val="18"/>
        </w:rPr>
        <w:br/>
      </w:r>
      <w:r w:rsidRPr="00137076">
        <w:rPr>
          <w:spacing w:val="-3"/>
          <w:sz w:val="18"/>
          <w:szCs w:val="18"/>
        </w:rPr>
        <w:t>Richard Tarapchak,</w:t>
      </w:r>
      <w:r>
        <w:rPr>
          <w:spacing w:val="-3"/>
          <w:sz w:val="18"/>
          <w:szCs w:val="18"/>
        </w:rPr>
        <w:t xml:space="preserve"> CPA</w:t>
      </w:r>
      <w:r>
        <w:rPr>
          <w:spacing w:val="-3"/>
          <w:sz w:val="18"/>
          <w:szCs w:val="18"/>
        </w:rPr>
        <w:tab/>
      </w:r>
      <w:r>
        <w:rPr>
          <w:spacing w:val="-3"/>
          <w:sz w:val="18"/>
          <w:szCs w:val="18"/>
        </w:rPr>
        <w:tab/>
      </w:r>
      <w:r>
        <w:rPr>
          <w:spacing w:val="-3"/>
          <w:sz w:val="18"/>
          <w:szCs w:val="18"/>
        </w:rPr>
        <w:tab/>
      </w:r>
      <w:r>
        <w:rPr>
          <w:spacing w:val="-3"/>
          <w:sz w:val="18"/>
          <w:szCs w:val="18"/>
        </w:rPr>
        <w:tab/>
      </w:r>
      <w:r w:rsidR="001708B2" w:rsidRPr="001708B2">
        <w:rPr>
          <w:rFonts w:asciiTheme="minorHAnsi" w:hAnsiTheme="minorHAnsi"/>
          <w:sz w:val="18"/>
          <w:szCs w:val="18"/>
        </w:rPr>
        <w:t>Reynolds Group Holdings</w:t>
      </w:r>
    </w:p>
    <w:p w14:paraId="58221B8A" w14:textId="77777777" w:rsidR="005838C5" w:rsidRPr="00137076" w:rsidRDefault="005838C5" w:rsidP="005838C5">
      <w:pPr>
        <w:tabs>
          <w:tab w:val="left" w:pos="360"/>
          <w:tab w:val="left" w:pos="4230"/>
        </w:tabs>
        <w:spacing w:after="0"/>
        <w:rPr>
          <w:b/>
          <w:sz w:val="18"/>
          <w:szCs w:val="18"/>
        </w:rPr>
      </w:pPr>
      <w:r w:rsidRPr="00137076">
        <w:rPr>
          <w:b/>
          <w:sz w:val="18"/>
          <w:szCs w:val="18"/>
        </w:rPr>
        <w:t>Staff Representative:</w:t>
      </w:r>
    </w:p>
    <w:p w14:paraId="2F876941" w14:textId="77777777" w:rsidR="005838C5" w:rsidRPr="00B36A5E" w:rsidRDefault="005838C5" w:rsidP="005838C5">
      <w:pPr>
        <w:spacing w:after="0"/>
      </w:pPr>
      <w:r w:rsidRPr="00137076">
        <w:rPr>
          <w:sz w:val="18"/>
          <w:szCs w:val="18"/>
        </w:rPr>
        <w:t xml:space="preserve">        Gayle Floresca, CPA</w:t>
      </w:r>
      <w:r w:rsidRPr="00137076">
        <w:rPr>
          <w:sz w:val="18"/>
          <w:szCs w:val="18"/>
        </w:rPr>
        <w:tab/>
      </w:r>
      <w:r w:rsidRPr="00137076">
        <w:rPr>
          <w:sz w:val="18"/>
          <w:szCs w:val="18"/>
        </w:rPr>
        <w:tab/>
      </w:r>
      <w:r w:rsidRPr="00137076">
        <w:rPr>
          <w:sz w:val="18"/>
          <w:szCs w:val="18"/>
        </w:rPr>
        <w:tab/>
        <w:t xml:space="preserve">            </w:t>
      </w:r>
      <w:r w:rsidRPr="00137076">
        <w:rPr>
          <w:sz w:val="18"/>
          <w:szCs w:val="18"/>
        </w:rPr>
        <w:tab/>
        <w:t xml:space="preserve"> Illinois CPA Society</w:t>
      </w:r>
    </w:p>
    <w:p w14:paraId="0F149991" w14:textId="5691B6B9" w:rsidR="00C07D21" w:rsidRPr="0097339A" w:rsidRDefault="00C07D21">
      <w:pPr>
        <w:rPr>
          <w:rFonts w:ascii="Times New Roman" w:hAnsi="Times New Roman"/>
        </w:rPr>
      </w:pPr>
    </w:p>
    <w:sectPr w:rsidR="00C07D21" w:rsidRPr="0097339A" w:rsidSect="00432EC7">
      <w:headerReference w:type="first" r:id="rId9"/>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67E5B" w14:textId="77777777" w:rsidR="00CC4A41" w:rsidRDefault="00CC4A41" w:rsidP="00C07D21">
      <w:pPr>
        <w:spacing w:after="0" w:line="240" w:lineRule="auto"/>
      </w:pPr>
      <w:r>
        <w:separator/>
      </w:r>
    </w:p>
  </w:endnote>
  <w:endnote w:type="continuationSeparator" w:id="0">
    <w:p w14:paraId="12F90D34" w14:textId="77777777" w:rsidR="00CC4A41" w:rsidRDefault="00CC4A41" w:rsidP="00C07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2C3A0" w14:textId="77777777" w:rsidR="00CC4A41" w:rsidRDefault="00CC4A41" w:rsidP="00C07D21">
      <w:pPr>
        <w:spacing w:after="0" w:line="240" w:lineRule="auto"/>
      </w:pPr>
      <w:r>
        <w:separator/>
      </w:r>
    </w:p>
  </w:footnote>
  <w:footnote w:type="continuationSeparator" w:id="0">
    <w:p w14:paraId="35398C14" w14:textId="77777777" w:rsidR="00CC4A41" w:rsidRDefault="00CC4A41" w:rsidP="00C07D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EE5E7" w14:textId="77777777" w:rsidR="00BA56C9" w:rsidRDefault="00BA56C9" w:rsidP="00C07D21">
    <w:pPr>
      <w:pStyle w:val="Header"/>
      <w:jc w:val="center"/>
    </w:pPr>
    <w:r>
      <w:rPr>
        <w:noProof/>
      </w:rPr>
      <w:drawing>
        <wp:inline distT="0" distB="0" distL="0" distR="0" wp14:anchorId="7E49B35E" wp14:editId="6C732870">
          <wp:extent cx="1247775" cy="10572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7775" cy="10572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06DE"/>
    <w:multiLevelType w:val="hybridMultilevel"/>
    <w:tmpl w:val="8C3EBF10"/>
    <w:lvl w:ilvl="0" w:tplc="74869910">
      <w:start w:val="1"/>
      <w:numFmt w:val="decimal"/>
      <w:lvlText w:val="%1."/>
      <w:lvlJc w:val="left"/>
      <w:pPr>
        <w:ind w:left="720" w:hanging="360"/>
      </w:pPr>
      <w:rPr>
        <w:rFonts w:hint="default"/>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5C55EB"/>
    <w:multiLevelType w:val="hybridMultilevel"/>
    <w:tmpl w:val="DE808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76538E0"/>
    <w:multiLevelType w:val="hybridMultilevel"/>
    <w:tmpl w:val="2BCC7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1672D93"/>
    <w:multiLevelType w:val="hybridMultilevel"/>
    <w:tmpl w:val="5088E79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652743C2"/>
    <w:multiLevelType w:val="hybridMultilevel"/>
    <w:tmpl w:val="D55A8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68D7DBA"/>
    <w:multiLevelType w:val="hybridMultilevel"/>
    <w:tmpl w:val="43603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3E1"/>
    <w:rsid w:val="0000540A"/>
    <w:rsid w:val="00007C01"/>
    <w:rsid w:val="000142EA"/>
    <w:rsid w:val="00032381"/>
    <w:rsid w:val="00036742"/>
    <w:rsid w:val="000369D7"/>
    <w:rsid w:val="00041775"/>
    <w:rsid w:val="00042A30"/>
    <w:rsid w:val="00050D70"/>
    <w:rsid w:val="00053FEF"/>
    <w:rsid w:val="00057379"/>
    <w:rsid w:val="00060B2D"/>
    <w:rsid w:val="00085888"/>
    <w:rsid w:val="0009050E"/>
    <w:rsid w:val="000A2FC2"/>
    <w:rsid w:val="000A44F0"/>
    <w:rsid w:val="000A6B72"/>
    <w:rsid w:val="000D2962"/>
    <w:rsid w:val="000D4CFC"/>
    <w:rsid w:val="000D4E0A"/>
    <w:rsid w:val="000D728D"/>
    <w:rsid w:val="000D7F45"/>
    <w:rsid w:val="000F4630"/>
    <w:rsid w:val="000F4862"/>
    <w:rsid w:val="0011453E"/>
    <w:rsid w:val="00116708"/>
    <w:rsid w:val="0011726D"/>
    <w:rsid w:val="00117E71"/>
    <w:rsid w:val="00120B3D"/>
    <w:rsid w:val="00124731"/>
    <w:rsid w:val="00131959"/>
    <w:rsid w:val="0013468E"/>
    <w:rsid w:val="00145DFF"/>
    <w:rsid w:val="00146D01"/>
    <w:rsid w:val="00160853"/>
    <w:rsid w:val="00164046"/>
    <w:rsid w:val="001708B2"/>
    <w:rsid w:val="00171283"/>
    <w:rsid w:val="00171936"/>
    <w:rsid w:val="00176186"/>
    <w:rsid w:val="001832B0"/>
    <w:rsid w:val="001A791C"/>
    <w:rsid w:val="001B6B1A"/>
    <w:rsid w:val="001C689F"/>
    <w:rsid w:val="001D009B"/>
    <w:rsid w:val="001D229D"/>
    <w:rsid w:val="001D3215"/>
    <w:rsid w:val="001D79D0"/>
    <w:rsid w:val="001D79EE"/>
    <w:rsid w:val="001E54FB"/>
    <w:rsid w:val="00205CF6"/>
    <w:rsid w:val="00230273"/>
    <w:rsid w:val="0026355B"/>
    <w:rsid w:val="00264B8B"/>
    <w:rsid w:val="00265659"/>
    <w:rsid w:val="00265C19"/>
    <w:rsid w:val="00270D5D"/>
    <w:rsid w:val="00273636"/>
    <w:rsid w:val="00274A68"/>
    <w:rsid w:val="00282AC6"/>
    <w:rsid w:val="002853F7"/>
    <w:rsid w:val="00291510"/>
    <w:rsid w:val="0029201A"/>
    <w:rsid w:val="00296D5A"/>
    <w:rsid w:val="002A0322"/>
    <w:rsid w:val="002A57B5"/>
    <w:rsid w:val="002B3F2F"/>
    <w:rsid w:val="002C0FD7"/>
    <w:rsid w:val="002C22EC"/>
    <w:rsid w:val="002C4993"/>
    <w:rsid w:val="002C690C"/>
    <w:rsid w:val="002D74CA"/>
    <w:rsid w:val="002F69AD"/>
    <w:rsid w:val="002F745C"/>
    <w:rsid w:val="003033B8"/>
    <w:rsid w:val="00313FA0"/>
    <w:rsid w:val="003144A1"/>
    <w:rsid w:val="003402D4"/>
    <w:rsid w:val="00341352"/>
    <w:rsid w:val="0034247D"/>
    <w:rsid w:val="00347085"/>
    <w:rsid w:val="00347677"/>
    <w:rsid w:val="00347E79"/>
    <w:rsid w:val="00353E39"/>
    <w:rsid w:val="00357C92"/>
    <w:rsid w:val="003707B8"/>
    <w:rsid w:val="00380A7A"/>
    <w:rsid w:val="00395802"/>
    <w:rsid w:val="003A0467"/>
    <w:rsid w:val="003B4851"/>
    <w:rsid w:val="003C0300"/>
    <w:rsid w:val="003C7BD9"/>
    <w:rsid w:val="003F17CA"/>
    <w:rsid w:val="003F63B5"/>
    <w:rsid w:val="0041714B"/>
    <w:rsid w:val="0041745C"/>
    <w:rsid w:val="00432EC7"/>
    <w:rsid w:val="00443B4B"/>
    <w:rsid w:val="00443E9E"/>
    <w:rsid w:val="00452EDD"/>
    <w:rsid w:val="00455A3C"/>
    <w:rsid w:val="00456BED"/>
    <w:rsid w:val="00462B05"/>
    <w:rsid w:val="00463AAA"/>
    <w:rsid w:val="004653E5"/>
    <w:rsid w:val="00476BC9"/>
    <w:rsid w:val="00483CC0"/>
    <w:rsid w:val="004843CB"/>
    <w:rsid w:val="004952E0"/>
    <w:rsid w:val="004B1968"/>
    <w:rsid w:val="004B52D3"/>
    <w:rsid w:val="004C2DCA"/>
    <w:rsid w:val="004D0A66"/>
    <w:rsid w:val="004D0B2F"/>
    <w:rsid w:val="004D0BD1"/>
    <w:rsid w:val="004D1C90"/>
    <w:rsid w:val="004E2126"/>
    <w:rsid w:val="004E2E28"/>
    <w:rsid w:val="004E4BAA"/>
    <w:rsid w:val="004E7B18"/>
    <w:rsid w:val="005079B6"/>
    <w:rsid w:val="005229F1"/>
    <w:rsid w:val="00523330"/>
    <w:rsid w:val="005251D7"/>
    <w:rsid w:val="005403FE"/>
    <w:rsid w:val="00553D03"/>
    <w:rsid w:val="00565C7C"/>
    <w:rsid w:val="00572F95"/>
    <w:rsid w:val="005838C5"/>
    <w:rsid w:val="00594184"/>
    <w:rsid w:val="00594BD8"/>
    <w:rsid w:val="005969E2"/>
    <w:rsid w:val="005A168C"/>
    <w:rsid w:val="005A3670"/>
    <w:rsid w:val="005B5BDF"/>
    <w:rsid w:val="005C148C"/>
    <w:rsid w:val="005C2DB4"/>
    <w:rsid w:val="005C7777"/>
    <w:rsid w:val="005C7C74"/>
    <w:rsid w:val="005D1F31"/>
    <w:rsid w:val="005D3892"/>
    <w:rsid w:val="005D6CBB"/>
    <w:rsid w:val="005D7AD3"/>
    <w:rsid w:val="005F434F"/>
    <w:rsid w:val="005F5188"/>
    <w:rsid w:val="006063A7"/>
    <w:rsid w:val="00606DCD"/>
    <w:rsid w:val="00607BE2"/>
    <w:rsid w:val="0061054B"/>
    <w:rsid w:val="0062628D"/>
    <w:rsid w:val="00626453"/>
    <w:rsid w:val="00633DD6"/>
    <w:rsid w:val="00676ADA"/>
    <w:rsid w:val="00677BD2"/>
    <w:rsid w:val="00682D9C"/>
    <w:rsid w:val="00684637"/>
    <w:rsid w:val="00685277"/>
    <w:rsid w:val="00686600"/>
    <w:rsid w:val="00695769"/>
    <w:rsid w:val="0069581C"/>
    <w:rsid w:val="006B0335"/>
    <w:rsid w:val="006B6654"/>
    <w:rsid w:val="006D7FE5"/>
    <w:rsid w:val="006E04FA"/>
    <w:rsid w:val="006E0858"/>
    <w:rsid w:val="006E7763"/>
    <w:rsid w:val="006F5863"/>
    <w:rsid w:val="006F7427"/>
    <w:rsid w:val="00711F27"/>
    <w:rsid w:val="00714F6A"/>
    <w:rsid w:val="00723E93"/>
    <w:rsid w:val="007264C5"/>
    <w:rsid w:val="00735823"/>
    <w:rsid w:val="007615EB"/>
    <w:rsid w:val="007718DC"/>
    <w:rsid w:val="00772526"/>
    <w:rsid w:val="007923B5"/>
    <w:rsid w:val="007C2442"/>
    <w:rsid w:val="007C532D"/>
    <w:rsid w:val="007D187A"/>
    <w:rsid w:val="007E3EA5"/>
    <w:rsid w:val="008023E1"/>
    <w:rsid w:val="00806C94"/>
    <w:rsid w:val="008165E6"/>
    <w:rsid w:val="00837848"/>
    <w:rsid w:val="00852838"/>
    <w:rsid w:val="00855F73"/>
    <w:rsid w:val="00856E14"/>
    <w:rsid w:val="00867AD3"/>
    <w:rsid w:val="00874581"/>
    <w:rsid w:val="00876585"/>
    <w:rsid w:val="008806F3"/>
    <w:rsid w:val="00890128"/>
    <w:rsid w:val="008A7A30"/>
    <w:rsid w:val="008B4D87"/>
    <w:rsid w:val="008B5F91"/>
    <w:rsid w:val="008B6B1F"/>
    <w:rsid w:val="008B6BEC"/>
    <w:rsid w:val="008C0283"/>
    <w:rsid w:val="008C45C6"/>
    <w:rsid w:val="008C58C1"/>
    <w:rsid w:val="008C7470"/>
    <w:rsid w:val="008D14B3"/>
    <w:rsid w:val="008D298F"/>
    <w:rsid w:val="008E05F5"/>
    <w:rsid w:val="00900AB6"/>
    <w:rsid w:val="00913F17"/>
    <w:rsid w:val="009140A0"/>
    <w:rsid w:val="00922646"/>
    <w:rsid w:val="009300EF"/>
    <w:rsid w:val="00946871"/>
    <w:rsid w:val="009538E7"/>
    <w:rsid w:val="00957E87"/>
    <w:rsid w:val="00966AF7"/>
    <w:rsid w:val="00971141"/>
    <w:rsid w:val="0097339A"/>
    <w:rsid w:val="009760A6"/>
    <w:rsid w:val="00980FBB"/>
    <w:rsid w:val="009848C2"/>
    <w:rsid w:val="009A171D"/>
    <w:rsid w:val="009A443F"/>
    <w:rsid w:val="009C3023"/>
    <w:rsid w:val="009C3411"/>
    <w:rsid w:val="009C59A8"/>
    <w:rsid w:val="009C69E9"/>
    <w:rsid w:val="009E263F"/>
    <w:rsid w:val="009F24C6"/>
    <w:rsid w:val="009F594A"/>
    <w:rsid w:val="00A21EA6"/>
    <w:rsid w:val="00A257F0"/>
    <w:rsid w:val="00A27AFF"/>
    <w:rsid w:val="00A3597D"/>
    <w:rsid w:val="00A56155"/>
    <w:rsid w:val="00A6434A"/>
    <w:rsid w:val="00A67DA6"/>
    <w:rsid w:val="00A70655"/>
    <w:rsid w:val="00A738BE"/>
    <w:rsid w:val="00A757C6"/>
    <w:rsid w:val="00A778A2"/>
    <w:rsid w:val="00A82D39"/>
    <w:rsid w:val="00A919C6"/>
    <w:rsid w:val="00A9382B"/>
    <w:rsid w:val="00A94D81"/>
    <w:rsid w:val="00AA1ED3"/>
    <w:rsid w:val="00AB39ED"/>
    <w:rsid w:val="00AC3D7F"/>
    <w:rsid w:val="00AC6BBF"/>
    <w:rsid w:val="00AC7E85"/>
    <w:rsid w:val="00AD16B3"/>
    <w:rsid w:val="00AD359F"/>
    <w:rsid w:val="00AE1A72"/>
    <w:rsid w:val="00AE7443"/>
    <w:rsid w:val="00AF45C5"/>
    <w:rsid w:val="00B10704"/>
    <w:rsid w:val="00B2433B"/>
    <w:rsid w:val="00B45AD5"/>
    <w:rsid w:val="00B705BE"/>
    <w:rsid w:val="00B83688"/>
    <w:rsid w:val="00B85463"/>
    <w:rsid w:val="00B91204"/>
    <w:rsid w:val="00BA05C8"/>
    <w:rsid w:val="00BA2D12"/>
    <w:rsid w:val="00BA56C9"/>
    <w:rsid w:val="00BB2CA4"/>
    <w:rsid w:val="00BB4824"/>
    <w:rsid w:val="00BC32E7"/>
    <w:rsid w:val="00BC3E2D"/>
    <w:rsid w:val="00BE276E"/>
    <w:rsid w:val="00BE4AD4"/>
    <w:rsid w:val="00BE64FA"/>
    <w:rsid w:val="00BF1792"/>
    <w:rsid w:val="00C034F1"/>
    <w:rsid w:val="00C07D21"/>
    <w:rsid w:val="00C137C4"/>
    <w:rsid w:val="00C2233B"/>
    <w:rsid w:val="00C35C9A"/>
    <w:rsid w:val="00C3656C"/>
    <w:rsid w:val="00C464CB"/>
    <w:rsid w:val="00C5619A"/>
    <w:rsid w:val="00C6020D"/>
    <w:rsid w:val="00C61383"/>
    <w:rsid w:val="00C62C28"/>
    <w:rsid w:val="00C673C8"/>
    <w:rsid w:val="00C705E6"/>
    <w:rsid w:val="00C75626"/>
    <w:rsid w:val="00C859FB"/>
    <w:rsid w:val="00C95559"/>
    <w:rsid w:val="00CB47C8"/>
    <w:rsid w:val="00CC2998"/>
    <w:rsid w:val="00CC4A41"/>
    <w:rsid w:val="00CD09CF"/>
    <w:rsid w:val="00CD281E"/>
    <w:rsid w:val="00CD7707"/>
    <w:rsid w:val="00D0776B"/>
    <w:rsid w:val="00D17B17"/>
    <w:rsid w:val="00D20B0F"/>
    <w:rsid w:val="00D21131"/>
    <w:rsid w:val="00D348A1"/>
    <w:rsid w:val="00D40953"/>
    <w:rsid w:val="00D44D90"/>
    <w:rsid w:val="00D46354"/>
    <w:rsid w:val="00D54EFA"/>
    <w:rsid w:val="00D62BFB"/>
    <w:rsid w:val="00D6721D"/>
    <w:rsid w:val="00D67BFE"/>
    <w:rsid w:val="00D726DA"/>
    <w:rsid w:val="00D72765"/>
    <w:rsid w:val="00D9165B"/>
    <w:rsid w:val="00D97561"/>
    <w:rsid w:val="00DA170D"/>
    <w:rsid w:val="00DA5FC3"/>
    <w:rsid w:val="00DA799F"/>
    <w:rsid w:val="00DB466C"/>
    <w:rsid w:val="00DB71A3"/>
    <w:rsid w:val="00DC1D5C"/>
    <w:rsid w:val="00DC5894"/>
    <w:rsid w:val="00DD54A8"/>
    <w:rsid w:val="00DD6EF3"/>
    <w:rsid w:val="00DE6BF9"/>
    <w:rsid w:val="00DE7014"/>
    <w:rsid w:val="00E1043D"/>
    <w:rsid w:val="00E24EC3"/>
    <w:rsid w:val="00E3067E"/>
    <w:rsid w:val="00E351C7"/>
    <w:rsid w:val="00E36A30"/>
    <w:rsid w:val="00E3777E"/>
    <w:rsid w:val="00E420ED"/>
    <w:rsid w:val="00E44736"/>
    <w:rsid w:val="00E45165"/>
    <w:rsid w:val="00E57852"/>
    <w:rsid w:val="00E60C98"/>
    <w:rsid w:val="00E82E8E"/>
    <w:rsid w:val="00E83DC2"/>
    <w:rsid w:val="00E83F85"/>
    <w:rsid w:val="00E845C2"/>
    <w:rsid w:val="00EA1DC9"/>
    <w:rsid w:val="00EA379E"/>
    <w:rsid w:val="00EB2335"/>
    <w:rsid w:val="00EB500C"/>
    <w:rsid w:val="00EC05AA"/>
    <w:rsid w:val="00EC0944"/>
    <w:rsid w:val="00EC4ACA"/>
    <w:rsid w:val="00ED3B04"/>
    <w:rsid w:val="00ED3E20"/>
    <w:rsid w:val="00ED693D"/>
    <w:rsid w:val="00EE14F2"/>
    <w:rsid w:val="00EE5591"/>
    <w:rsid w:val="00F03D74"/>
    <w:rsid w:val="00F2086D"/>
    <w:rsid w:val="00F32416"/>
    <w:rsid w:val="00F35E78"/>
    <w:rsid w:val="00F42857"/>
    <w:rsid w:val="00F520E5"/>
    <w:rsid w:val="00F54F28"/>
    <w:rsid w:val="00F55887"/>
    <w:rsid w:val="00F72F83"/>
    <w:rsid w:val="00F73AB1"/>
    <w:rsid w:val="00F75081"/>
    <w:rsid w:val="00F76B0A"/>
    <w:rsid w:val="00F8600B"/>
    <w:rsid w:val="00F866D8"/>
    <w:rsid w:val="00F91EE5"/>
    <w:rsid w:val="00FA7FAA"/>
    <w:rsid w:val="00FB45AC"/>
    <w:rsid w:val="00FD1042"/>
    <w:rsid w:val="00FD2460"/>
    <w:rsid w:val="00FD7B33"/>
    <w:rsid w:val="00FE7ED7"/>
    <w:rsid w:val="00FF7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C0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D21"/>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3E1"/>
    <w:pPr>
      <w:autoSpaceDE w:val="0"/>
      <w:autoSpaceDN w:val="0"/>
      <w:adjustRightInd w:val="0"/>
      <w:spacing w:after="0" w:line="240" w:lineRule="auto"/>
    </w:pPr>
    <w:rPr>
      <w:rFonts w:cs="Times New Roman"/>
      <w:color w:val="000000"/>
      <w:szCs w:val="24"/>
    </w:rPr>
  </w:style>
  <w:style w:type="paragraph" w:styleId="Header">
    <w:name w:val="header"/>
    <w:basedOn w:val="Normal"/>
    <w:link w:val="HeaderChar"/>
    <w:uiPriority w:val="99"/>
    <w:semiHidden/>
    <w:unhideWhenUsed/>
    <w:rsid w:val="00C07D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7D21"/>
  </w:style>
  <w:style w:type="paragraph" w:styleId="Footer">
    <w:name w:val="footer"/>
    <w:basedOn w:val="Normal"/>
    <w:link w:val="FooterChar"/>
    <w:uiPriority w:val="99"/>
    <w:semiHidden/>
    <w:unhideWhenUsed/>
    <w:rsid w:val="00C07D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7D21"/>
  </w:style>
  <w:style w:type="paragraph" w:styleId="BalloonText">
    <w:name w:val="Balloon Text"/>
    <w:basedOn w:val="Normal"/>
    <w:link w:val="BalloonTextChar"/>
    <w:uiPriority w:val="99"/>
    <w:semiHidden/>
    <w:unhideWhenUsed/>
    <w:rsid w:val="00C07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D21"/>
    <w:rPr>
      <w:rFonts w:ascii="Tahoma" w:hAnsi="Tahoma" w:cs="Tahoma"/>
      <w:sz w:val="16"/>
      <w:szCs w:val="16"/>
    </w:rPr>
  </w:style>
  <w:style w:type="character" w:styleId="CommentReference">
    <w:name w:val="annotation reference"/>
    <w:basedOn w:val="DefaultParagraphFont"/>
    <w:uiPriority w:val="99"/>
    <w:semiHidden/>
    <w:unhideWhenUsed/>
    <w:rsid w:val="00B91204"/>
    <w:rPr>
      <w:sz w:val="16"/>
      <w:szCs w:val="16"/>
    </w:rPr>
  </w:style>
  <w:style w:type="paragraph" w:styleId="CommentText">
    <w:name w:val="annotation text"/>
    <w:basedOn w:val="Normal"/>
    <w:link w:val="CommentTextChar"/>
    <w:uiPriority w:val="99"/>
    <w:semiHidden/>
    <w:unhideWhenUsed/>
    <w:rsid w:val="00B91204"/>
    <w:pPr>
      <w:spacing w:line="240" w:lineRule="auto"/>
    </w:pPr>
    <w:rPr>
      <w:sz w:val="20"/>
      <w:szCs w:val="20"/>
    </w:rPr>
  </w:style>
  <w:style w:type="character" w:customStyle="1" w:styleId="CommentTextChar">
    <w:name w:val="Comment Text Char"/>
    <w:basedOn w:val="DefaultParagraphFont"/>
    <w:link w:val="CommentText"/>
    <w:uiPriority w:val="99"/>
    <w:semiHidden/>
    <w:rsid w:val="00B9120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1204"/>
    <w:rPr>
      <w:b/>
      <w:bCs/>
    </w:rPr>
  </w:style>
  <w:style w:type="character" w:customStyle="1" w:styleId="CommentSubjectChar">
    <w:name w:val="Comment Subject Char"/>
    <w:basedOn w:val="CommentTextChar"/>
    <w:link w:val="CommentSubject"/>
    <w:uiPriority w:val="99"/>
    <w:semiHidden/>
    <w:rsid w:val="00B91204"/>
    <w:rPr>
      <w:rFonts w:ascii="Calibri" w:eastAsia="Times New Roman" w:hAnsi="Calibri" w:cs="Times New Roman"/>
      <w:b/>
      <w:bCs/>
      <w:sz w:val="20"/>
      <w:szCs w:val="20"/>
    </w:rPr>
  </w:style>
  <w:style w:type="paragraph" w:styleId="ListParagraph">
    <w:name w:val="List Paragraph"/>
    <w:basedOn w:val="Normal"/>
    <w:uiPriority w:val="34"/>
    <w:qFormat/>
    <w:rsid w:val="00FA7FAA"/>
    <w:pPr>
      <w:spacing w:after="0" w:line="240" w:lineRule="auto"/>
      <w:ind w:left="720"/>
      <w:contextualSpacing/>
    </w:pPr>
    <w:rPr>
      <w:rFonts w:ascii="Times New Roman" w:hAnsi="Times New Roman"/>
      <w:sz w:val="24"/>
      <w:szCs w:val="24"/>
    </w:rPr>
  </w:style>
  <w:style w:type="character" w:styleId="Emphasis">
    <w:name w:val="Emphasis"/>
    <w:basedOn w:val="DefaultParagraphFont"/>
    <w:uiPriority w:val="20"/>
    <w:qFormat/>
    <w:rsid w:val="00D44D9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D21"/>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3E1"/>
    <w:pPr>
      <w:autoSpaceDE w:val="0"/>
      <w:autoSpaceDN w:val="0"/>
      <w:adjustRightInd w:val="0"/>
      <w:spacing w:after="0" w:line="240" w:lineRule="auto"/>
    </w:pPr>
    <w:rPr>
      <w:rFonts w:cs="Times New Roman"/>
      <w:color w:val="000000"/>
      <w:szCs w:val="24"/>
    </w:rPr>
  </w:style>
  <w:style w:type="paragraph" w:styleId="Header">
    <w:name w:val="header"/>
    <w:basedOn w:val="Normal"/>
    <w:link w:val="HeaderChar"/>
    <w:uiPriority w:val="99"/>
    <w:semiHidden/>
    <w:unhideWhenUsed/>
    <w:rsid w:val="00C07D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7D21"/>
  </w:style>
  <w:style w:type="paragraph" w:styleId="Footer">
    <w:name w:val="footer"/>
    <w:basedOn w:val="Normal"/>
    <w:link w:val="FooterChar"/>
    <w:uiPriority w:val="99"/>
    <w:semiHidden/>
    <w:unhideWhenUsed/>
    <w:rsid w:val="00C07D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7D21"/>
  </w:style>
  <w:style w:type="paragraph" w:styleId="BalloonText">
    <w:name w:val="Balloon Text"/>
    <w:basedOn w:val="Normal"/>
    <w:link w:val="BalloonTextChar"/>
    <w:uiPriority w:val="99"/>
    <w:semiHidden/>
    <w:unhideWhenUsed/>
    <w:rsid w:val="00C07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D21"/>
    <w:rPr>
      <w:rFonts w:ascii="Tahoma" w:hAnsi="Tahoma" w:cs="Tahoma"/>
      <w:sz w:val="16"/>
      <w:szCs w:val="16"/>
    </w:rPr>
  </w:style>
  <w:style w:type="character" w:styleId="CommentReference">
    <w:name w:val="annotation reference"/>
    <w:basedOn w:val="DefaultParagraphFont"/>
    <w:uiPriority w:val="99"/>
    <w:semiHidden/>
    <w:unhideWhenUsed/>
    <w:rsid w:val="00B91204"/>
    <w:rPr>
      <w:sz w:val="16"/>
      <w:szCs w:val="16"/>
    </w:rPr>
  </w:style>
  <w:style w:type="paragraph" w:styleId="CommentText">
    <w:name w:val="annotation text"/>
    <w:basedOn w:val="Normal"/>
    <w:link w:val="CommentTextChar"/>
    <w:uiPriority w:val="99"/>
    <w:semiHidden/>
    <w:unhideWhenUsed/>
    <w:rsid w:val="00B91204"/>
    <w:pPr>
      <w:spacing w:line="240" w:lineRule="auto"/>
    </w:pPr>
    <w:rPr>
      <w:sz w:val="20"/>
      <w:szCs w:val="20"/>
    </w:rPr>
  </w:style>
  <w:style w:type="character" w:customStyle="1" w:styleId="CommentTextChar">
    <w:name w:val="Comment Text Char"/>
    <w:basedOn w:val="DefaultParagraphFont"/>
    <w:link w:val="CommentText"/>
    <w:uiPriority w:val="99"/>
    <w:semiHidden/>
    <w:rsid w:val="00B9120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1204"/>
    <w:rPr>
      <w:b/>
      <w:bCs/>
    </w:rPr>
  </w:style>
  <w:style w:type="character" w:customStyle="1" w:styleId="CommentSubjectChar">
    <w:name w:val="Comment Subject Char"/>
    <w:basedOn w:val="CommentTextChar"/>
    <w:link w:val="CommentSubject"/>
    <w:uiPriority w:val="99"/>
    <w:semiHidden/>
    <w:rsid w:val="00B91204"/>
    <w:rPr>
      <w:rFonts w:ascii="Calibri" w:eastAsia="Times New Roman" w:hAnsi="Calibri" w:cs="Times New Roman"/>
      <w:b/>
      <w:bCs/>
      <w:sz w:val="20"/>
      <w:szCs w:val="20"/>
    </w:rPr>
  </w:style>
  <w:style w:type="paragraph" w:styleId="ListParagraph">
    <w:name w:val="List Paragraph"/>
    <w:basedOn w:val="Normal"/>
    <w:uiPriority w:val="34"/>
    <w:qFormat/>
    <w:rsid w:val="00FA7FAA"/>
    <w:pPr>
      <w:spacing w:after="0" w:line="240" w:lineRule="auto"/>
      <w:ind w:left="720"/>
      <w:contextualSpacing/>
    </w:pPr>
    <w:rPr>
      <w:rFonts w:ascii="Times New Roman" w:hAnsi="Times New Roman"/>
      <w:sz w:val="24"/>
      <w:szCs w:val="24"/>
    </w:rPr>
  </w:style>
  <w:style w:type="character" w:styleId="Emphasis">
    <w:name w:val="Emphasis"/>
    <w:basedOn w:val="DefaultParagraphFont"/>
    <w:uiPriority w:val="20"/>
    <w:qFormat/>
    <w:rsid w:val="00D44D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87D07-9A93-44B0-BE05-216843595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1309</Words>
  <Characters>7467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Fuehrmeyer</dc:creator>
  <cp:lastModifiedBy>Gayle Floresca</cp:lastModifiedBy>
  <cp:revision>2</cp:revision>
  <cp:lastPrinted>2016-01-16T01:02:00Z</cp:lastPrinted>
  <dcterms:created xsi:type="dcterms:W3CDTF">2016-06-27T20:42:00Z</dcterms:created>
  <dcterms:modified xsi:type="dcterms:W3CDTF">2016-06-27T20:42:00Z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