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D25A" w14:textId="3D32DD3F" w:rsidR="00875639" w:rsidRDefault="001864B1" w:rsidP="00C07D21">
      <w:pPr>
        <w:spacing w:after="0" w:line="240" w:lineRule="auto"/>
      </w:pPr>
      <w:r>
        <w:t>March 13, 2017</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316CB2">
      <w:pPr>
        <w:spacing w:after="0" w:line="240" w:lineRule="auto"/>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68D398F5" w:rsidR="00316CB2" w:rsidRDefault="001864B1" w:rsidP="00316CB2">
      <w:pPr>
        <w:spacing w:after="0" w:line="240" w:lineRule="auto"/>
      </w:pPr>
      <w:r>
        <w:t>File Reference No. 2017-</w:t>
      </w:r>
      <w:r w:rsidR="004E59F1">
        <w:t>210</w:t>
      </w:r>
    </w:p>
    <w:p w14:paraId="438EB242" w14:textId="77777777" w:rsidR="008F1D9E" w:rsidRDefault="008F1D9E" w:rsidP="00316CB2">
      <w:pPr>
        <w:spacing w:after="0" w:line="240" w:lineRule="auto"/>
      </w:pPr>
    </w:p>
    <w:p w14:paraId="430B3CDA" w14:textId="0A2E0F81"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1864B1">
        <w:rPr>
          <w:rFonts w:cstheme="minorBidi"/>
          <w:i/>
        </w:rPr>
        <w:t>Disclosure Framework – Changes to Disclosure Requirements for Inventory (Topic 330)</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19FE0A4B" w14:textId="78A50055" w:rsidR="00316CB2" w:rsidRDefault="00631F9E" w:rsidP="00316CB2">
      <w:pPr>
        <w:pStyle w:val="NoSpacing"/>
        <w:jc w:val="both"/>
      </w:pPr>
      <w:r>
        <w:t>In gener</w:t>
      </w:r>
      <w:r w:rsidR="003948FA">
        <w:t xml:space="preserve">al, we are supportive of </w:t>
      </w:r>
      <w:r w:rsidR="00CA064B">
        <w:t xml:space="preserve">the </w:t>
      </w:r>
      <w:r w:rsidR="003948FA">
        <w:t xml:space="preserve">Board’s </w:t>
      </w:r>
      <w:r w:rsidR="00CA064B">
        <w:t>proposed changes</w:t>
      </w:r>
      <w:r w:rsidR="003948FA">
        <w:t>,</w:t>
      </w:r>
      <w:r w:rsidR="00CA064B">
        <w:t xml:space="preserve"> </w:t>
      </w:r>
      <w:r w:rsidR="003948FA">
        <w:t xml:space="preserve">as it </w:t>
      </w:r>
      <w:r w:rsidR="00CA064B">
        <w:t xml:space="preserve">will improve </w:t>
      </w:r>
      <w:r w:rsidR="003948FA">
        <w:t xml:space="preserve">the effectiveness of </w:t>
      </w:r>
      <w:r w:rsidR="00CA064B">
        <w:t>inventory disclosures</w:t>
      </w:r>
      <w:r w:rsidR="00B20EE2">
        <w:t xml:space="preserve"> withou</w:t>
      </w:r>
      <w:r w:rsidR="00397A28">
        <w:t>t imposing significant compliance</w:t>
      </w:r>
      <w:r w:rsidR="00B20EE2">
        <w:t xml:space="preserve"> costs</w:t>
      </w:r>
      <w:r>
        <w:t>.</w:t>
      </w:r>
      <w:r w:rsidR="00397A28">
        <w:t xml:space="preserve">  T</w:t>
      </w:r>
      <w:r w:rsidR="00CA064B">
        <w:t xml:space="preserve">he </w:t>
      </w:r>
      <w:r w:rsidR="00397A28">
        <w:t xml:space="preserve">requirements to disclose </w:t>
      </w:r>
      <w:r w:rsidR="00CA064B">
        <w:t>inventory disaggregation by component</w:t>
      </w:r>
      <w:r w:rsidR="00397A28">
        <w:t xml:space="preserve">, the effect that </w:t>
      </w:r>
      <w:r w:rsidR="00B20EE2">
        <w:t xml:space="preserve">LIFO inventory </w:t>
      </w:r>
      <w:r w:rsidR="00397A28">
        <w:t xml:space="preserve">has on </w:t>
      </w:r>
      <w:proofErr w:type="gramStart"/>
      <w:r w:rsidR="00397A28">
        <w:t>income,</w:t>
      </w:r>
      <w:proofErr w:type="gramEnd"/>
      <w:r w:rsidR="00397A28">
        <w:t xml:space="preserve"> and </w:t>
      </w:r>
      <w:r w:rsidR="00B20EE2">
        <w:t>LIFO</w:t>
      </w:r>
      <w:r w:rsidR="00CA064B">
        <w:t xml:space="preserve"> </w:t>
      </w:r>
      <w:r w:rsidR="00B20EE2">
        <w:t>replacement costs seem to be the most meaningful improvements.</w:t>
      </w:r>
      <w:r w:rsidR="003948FA">
        <w:t xml:space="preserve">  We do have some concerns about the proposed requirement relating to the Retail Inventory Method (RIM), as noted in our response to Question 7.</w:t>
      </w:r>
    </w:p>
    <w:p w14:paraId="205B4F8B" w14:textId="77777777" w:rsidR="008F24DE" w:rsidRDefault="008F24DE" w:rsidP="00316CB2">
      <w:pPr>
        <w:pStyle w:val="NoSpacing"/>
        <w:jc w:val="both"/>
      </w:pPr>
    </w:p>
    <w:p w14:paraId="6A07508D" w14:textId="35AA0EE2" w:rsidR="008F24DE" w:rsidRDefault="008F24DE" w:rsidP="00316CB2">
      <w:pPr>
        <w:pStyle w:val="NoSpacing"/>
        <w:jc w:val="both"/>
      </w:pPr>
      <w:r>
        <w:t>We have provided our responses to certain questions raised in the proposed ASU below.</w:t>
      </w:r>
    </w:p>
    <w:p w14:paraId="71DE9B6C" w14:textId="77777777" w:rsidR="00AD1FD1" w:rsidRDefault="00AD1FD1" w:rsidP="00316CB2">
      <w:pPr>
        <w:pStyle w:val="NoSpacing"/>
        <w:jc w:val="both"/>
      </w:pPr>
    </w:p>
    <w:p w14:paraId="03FD6FC1" w14:textId="77777777" w:rsidR="00AD1FD1" w:rsidRDefault="00AD1FD1" w:rsidP="00316CB2">
      <w:pPr>
        <w:pStyle w:val="NoSpacing"/>
        <w:jc w:val="both"/>
      </w:pPr>
    </w:p>
    <w:p w14:paraId="14F75DC8" w14:textId="77777777" w:rsidR="00B20EE2" w:rsidRDefault="00B20EE2" w:rsidP="00316CB2">
      <w:pPr>
        <w:pStyle w:val="NoSpacing"/>
        <w:jc w:val="both"/>
      </w:pPr>
    </w:p>
    <w:p w14:paraId="39698A6D" w14:textId="77777777" w:rsidR="00AD1FD1" w:rsidRDefault="00AD1FD1" w:rsidP="00AD1FD1">
      <w:r>
        <w:rPr>
          <w:b/>
        </w:rPr>
        <w:t>Question 1:</w:t>
      </w:r>
      <w:r>
        <w:t xml:space="preserve"> Would the amendments in the proposed Update result in more effective, decision-useful information about inventory? Please explain why or why not.</w:t>
      </w:r>
    </w:p>
    <w:p w14:paraId="20F052CA" w14:textId="6D0AB044" w:rsidR="00AD1FD1" w:rsidRPr="00A34968" w:rsidRDefault="00AD1FD1" w:rsidP="00AD1FD1">
      <w:r>
        <w:rPr>
          <w:b/>
        </w:rPr>
        <w:t xml:space="preserve">Response: </w:t>
      </w:r>
      <w:r>
        <w:t xml:space="preserve">We believe the amendments in the </w:t>
      </w:r>
      <w:r w:rsidR="0058042A">
        <w:t>proposed Update would provide greater clarity about the</w:t>
      </w:r>
      <w:r>
        <w:t xml:space="preserve"> components </w:t>
      </w:r>
      <w:r w:rsidR="0058042A">
        <w:t>of</w:t>
      </w:r>
      <w:r>
        <w:t xml:space="preserve"> inventory valuations, including changes in </w:t>
      </w:r>
      <w:r w:rsidR="0058042A">
        <w:t>inventory balances related to</w:t>
      </w:r>
      <w:r>
        <w:t xml:space="preserve"> transactions, circumstances, or events outside the normal course of business and the effects </w:t>
      </w:r>
      <w:r w:rsidR="00397A28">
        <w:t xml:space="preserve">of </w:t>
      </w:r>
      <w:r>
        <w:t>using the LI</w:t>
      </w:r>
      <w:r w:rsidR="0058042A">
        <w:t>FO method.</w:t>
      </w:r>
    </w:p>
    <w:p w14:paraId="3EA4C508" w14:textId="77777777" w:rsidR="00AD1FD1" w:rsidRDefault="00AD1FD1" w:rsidP="00AD1FD1">
      <w:pPr>
        <w:rPr>
          <w:b/>
        </w:rPr>
      </w:pPr>
    </w:p>
    <w:p w14:paraId="52279FD8" w14:textId="77777777" w:rsidR="00AD1FD1" w:rsidRDefault="00AD1FD1" w:rsidP="00AD1FD1">
      <w:r>
        <w:rPr>
          <w:b/>
        </w:rPr>
        <w:t xml:space="preserve">Question 2: </w:t>
      </w:r>
      <w:r w:rsidRPr="00BB4E01">
        <w:t>Are the proposed disclosure requirements operable and auditable? If not, which aspects pose operability or auditability concerns and why?</w:t>
      </w:r>
    </w:p>
    <w:p w14:paraId="1299FFC8" w14:textId="2CB4F9C9" w:rsidR="00AD1FD1" w:rsidRDefault="00AD1FD1" w:rsidP="00AD1FD1">
      <w:r>
        <w:rPr>
          <w:b/>
        </w:rPr>
        <w:t>Response</w:t>
      </w:r>
      <w:r>
        <w:t>: We believe the proposed requirements are operable and auditable.</w:t>
      </w:r>
    </w:p>
    <w:p w14:paraId="38F64E02" w14:textId="77777777" w:rsidR="00AD1FD1" w:rsidRDefault="00AD1FD1" w:rsidP="00AD1FD1"/>
    <w:p w14:paraId="5C1B7EF6" w14:textId="77777777" w:rsidR="00AD1FD1" w:rsidRDefault="00AD1FD1" w:rsidP="00AD1FD1">
      <w:r>
        <w:rPr>
          <w:b/>
        </w:rPr>
        <w:t>Question 3:</w:t>
      </w:r>
      <w:r>
        <w:t xml:space="preserve"> Would any of the proposed disclosure impose significant incremental costs?  If so, please describe the nature and extent of the additional costs:</w:t>
      </w:r>
    </w:p>
    <w:p w14:paraId="25E29436" w14:textId="77777777" w:rsidR="00AD1FD1" w:rsidRDefault="00AD1FD1" w:rsidP="00AD1FD1">
      <w:r>
        <w:rPr>
          <w:b/>
        </w:rPr>
        <w:t xml:space="preserve">Response: </w:t>
      </w:r>
      <w:r>
        <w:t>We do not believe there would be significant incremental cost imposed.</w:t>
      </w:r>
    </w:p>
    <w:p w14:paraId="005CA43A" w14:textId="77777777" w:rsidR="00AD1FD1" w:rsidRDefault="00AD1FD1" w:rsidP="00AD1FD1"/>
    <w:p w14:paraId="7D14F8EB" w14:textId="77777777" w:rsidR="00AD1FD1" w:rsidRDefault="00AD1FD1" w:rsidP="00AD1FD1"/>
    <w:p w14:paraId="289E43E3" w14:textId="77777777" w:rsidR="00AD1FD1" w:rsidRDefault="00AD1FD1" w:rsidP="00AD1FD1">
      <w:r>
        <w:rPr>
          <w:b/>
        </w:rPr>
        <w:t>Question 4:</w:t>
      </w:r>
      <w:r>
        <w:t xml:space="preserve"> Paragraph 330-10-50-7 proposes a requirement to disclose certain specific changes in the inventory balance.  Is this requirement sufficiently operable?  Why or why not?  Would a requirement to include a roll-forward of inventory impose significantly greater costs?  If so, please describe the nature and extent of the additional costs.  Would the informational benefit of a roll-forward be sufficient to justify the additional costs?  Are there other ways to provide users with this information without imposing significant incremental costs, and, if so, what are they?</w:t>
      </w:r>
    </w:p>
    <w:p w14:paraId="5A9F2EB5" w14:textId="3BBF3ECA" w:rsidR="00AD1FD1" w:rsidRPr="00A21692" w:rsidRDefault="00AD1FD1" w:rsidP="00AD1FD1">
      <w:r>
        <w:rPr>
          <w:b/>
        </w:rPr>
        <w:t xml:space="preserve">Response: </w:t>
      </w:r>
      <w:r>
        <w:t xml:space="preserve">We believe that </w:t>
      </w:r>
      <w:r w:rsidR="008E594C">
        <w:t xml:space="preserve">most of </w:t>
      </w:r>
      <w:r>
        <w:t>the disclosure requirement</w:t>
      </w:r>
      <w:r w:rsidR="008E594C">
        <w:t>s</w:t>
      </w:r>
      <w:r>
        <w:t xml:space="preserve"> descr</w:t>
      </w:r>
      <w:r w:rsidR="008E594C">
        <w:t>ibed in Paragraph 330-10-50-7 are</w:t>
      </w:r>
      <w:r>
        <w:t xml:space="preserve"> sufficiently o</w:t>
      </w:r>
      <w:r w:rsidR="008E594C">
        <w:t>perable since</w:t>
      </w:r>
      <w:r>
        <w:t xml:space="preserve"> much of </w:t>
      </w:r>
      <w:r w:rsidR="0058042A">
        <w:t>the required</w:t>
      </w:r>
      <w:r>
        <w:t xml:space="preserve"> information is dis</w:t>
      </w:r>
      <w:r w:rsidR="0058042A">
        <w:t>closed elsewhere in the financial statement and disclosures</w:t>
      </w:r>
      <w:r w:rsidR="008E594C">
        <w:t xml:space="preserve"> such as the impact from acquisitions or dispositions.  We understand the Board’s desire to provide information to the users of financial statements regarding changes in an entity’s inventory balances: however, d</w:t>
      </w:r>
      <w:r>
        <w:t>etermining</w:t>
      </w:r>
      <w:r w:rsidR="008E594C">
        <w:t xml:space="preserve"> what constitutes “</w:t>
      </w:r>
      <w:r>
        <w:t>atypical</w:t>
      </w:r>
      <w:r w:rsidR="008E594C">
        <w:t xml:space="preserve">” losses is an area of concern.  For reasons similar to those cited in ASU 2015-01, </w:t>
      </w:r>
      <w:r w:rsidR="008E594C" w:rsidRPr="00397A28">
        <w:rPr>
          <w:i/>
        </w:rPr>
        <w:t xml:space="preserve">Income Statement </w:t>
      </w:r>
      <w:r w:rsidR="00432F71" w:rsidRPr="00397A28">
        <w:rPr>
          <w:i/>
        </w:rPr>
        <w:t>–</w:t>
      </w:r>
      <w:r w:rsidR="008E594C" w:rsidRPr="00397A28">
        <w:rPr>
          <w:i/>
        </w:rPr>
        <w:t xml:space="preserve"> Extraordi</w:t>
      </w:r>
      <w:r w:rsidR="00432F71" w:rsidRPr="00397A28">
        <w:rPr>
          <w:i/>
        </w:rPr>
        <w:t>nary and Unusual Items (Subtopic 225-20),</w:t>
      </w:r>
      <w:r w:rsidR="00432F71">
        <w:t xml:space="preserve"> we believe without providing further guidance defining the meaning “atypical”</w:t>
      </w:r>
      <w:r w:rsidR="00397A28">
        <w:t xml:space="preserve">, </w:t>
      </w:r>
      <w:r w:rsidR="00432F71">
        <w:t>the introduction of thi</w:t>
      </w:r>
      <w:r w:rsidR="00DC038F">
        <w:t>s concept will create uncertain</w:t>
      </w:r>
      <w:r w:rsidR="00432F71">
        <w:t>ty for preparers of financial</w:t>
      </w:r>
      <w:r w:rsidR="00DC038F">
        <w:t xml:space="preserve"> statements.  We note that ASU 2015-01 retained and expanded the presentation and disclosure guidance for items that are unusual in nature or occur infrequently.  We believe the guidance i</w:t>
      </w:r>
      <w:r w:rsidR="00947A2F">
        <w:t>n ASU 2015-01 currently provides the framework for entities to consider for disclosing losses from the subsequent measurement of inventory shrinkage, spoilage or damage which may be unusual in nature.  Adding the concept of an additional disclosure regarding “atypical” losses would be confusing.  We believe the Board should utilize the guidance provided in ASU 2015-01 regarding such disclosures with respect to the measurement of inventory.  We agree with the Board that providing a complete roll-forward of inventory would not</w:t>
      </w:r>
      <w:r w:rsidR="00397A28">
        <w:t xml:space="preserve"> likely</w:t>
      </w:r>
      <w:r w:rsidR="00947A2F">
        <w:t xml:space="preserve"> </w:t>
      </w:r>
      <w:r w:rsidR="00397A28">
        <w:t xml:space="preserve">add significant costs to the </w:t>
      </w:r>
      <w:r w:rsidR="00947A2F">
        <w:t>disclosure</w:t>
      </w:r>
      <w:r w:rsidR="00397A28">
        <w:t xml:space="preserve"> process</w:t>
      </w:r>
      <w:r w:rsidR="00947A2F">
        <w:t>.</w:t>
      </w:r>
    </w:p>
    <w:p w14:paraId="27CFCE64" w14:textId="77777777" w:rsidR="00AD1FD1" w:rsidRPr="00B5501A" w:rsidRDefault="00AD1FD1" w:rsidP="00AD1FD1"/>
    <w:p w14:paraId="6A2D96BC" w14:textId="77777777" w:rsidR="00AD1FD1" w:rsidRDefault="00AD1FD1" w:rsidP="00AD1FD1"/>
    <w:p w14:paraId="71FCA447" w14:textId="77777777" w:rsidR="00AD1FD1" w:rsidRDefault="00AD1FD1" w:rsidP="00AD1FD1">
      <w:r>
        <w:rPr>
          <w:b/>
        </w:rPr>
        <w:t>Question 5:</w:t>
      </w:r>
      <w:r>
        <w:t xml:space="preserve"> The proposed amendment would apply to all entities, except for the requirements in paragraphs 280-10-50-25 and 280-10-50-32, which apply only to those public entities subject to the guidance in Topic 280. Is it appropriate to exclude entities that are not public business entities from this guidance? </w:t>
      </w:r>
      <w:proofErr w:type="gramStart"/>
      <w:r>
        <w:t>Are</w:t>
      </w:r>
      <w:proofErr w:type="gramEnd"/>
      <w:r>
        <w:t xml:space="preserve"> there other disclosure for which entities other than public business entities should be allowed a modification?</w:t>
      </w:r>
    </w:p>
    <w:p w14:paraId="04372CE9" w14:textId="44E95375" w:rsidR="00AD1FD1" w:rsidRDefault="00AD1FD1" w:rsidP="00AD1FD1">
      <w:r>
        <w:rPr>
          <w:b/>
        </w:rPr>
        <w:t xml:space="preserve">Response: </w:t>
      </w:r>
      <w:r>
        <w:t xml:space="preserve">We agree the proposed amendment should apply to all entities except for the requirements in paragraphs 280-10-50-25 and 280-10-50-32, which apply only to public entities. Requiring non-public entities to comply with paragraphs 280-10-50-25 and 280-10-50-32 would not provide the users of the financial statements decision-useful information and for many </w:t>
      </w:r>
      <w:r w:rsidR="006D62AB">
        <w:t xml:space="preserve">smaller </w:t>
      </w:r>
      <w:r>
        <w:t>non-public entities the information is not readily available. This information could also be available upon request of management from those users of certain non-public financial statements.</w:t>
      </w:r>
    </w:p>
    <w:p w14:paraId="53C29686" w14:textId="77777777" w:rsidR="00AD1FD1" w:rsidRPr="00A21692" w:rsidRDefault="00AD1FD1" w:rsidP="00AD1FD1"/>
    <w:p w14:paraId="6B156F24" w14:textId="77777777" w:rsidR="00AD1FD1" w:rsidRDefault="00AD1FD1" w:rsidP="00AD1FD1">
      <w:r>
        <w:rPr>
          <w:b/>
        </w:rPr>
        <w:t>Question 6:</w:t>
      </w:r>
      <w:r>
        <w:t xml:space="preserve"> Paragraph 330-10-50-11 proposes a requirement to disclose a qualitative description of types of costs that an entity capitalizes into inventory.  Would this requirement provide useful information to users?</w:t>
      </w:r>
    </w:p>
    <w:p w14:paraId="30559777" w14:textId="1D2F537F" w:rsidR="00AD1FD1" w:rsidRDefault="00AD1FD1" w:rsidP="00AD1FD1">
      <w:r>
        <w:rPr>
          <w:b/>
        </w:rPr>
        <w:lastRenderedPageBreak/>
        <w:t>Response:</w:t>
      </w:r>
      <w:r w:rsidR="003948FA">
        <w:t xml:space="preserve"> We agree</w:t>
      </w:r>
      <w:r>
        <w:t xml:space="preserve"> that a requirement to disclose a qualitative description on types of costs that an entity capitalizes </w:t>
      </w:r>
      <w:r w:rsidR="003948FA">
        <w:t xml:space="preserve">into inventory could provide </w:t>
      </w:r>
      <w:r>
        <w:t>user</w:t>
      </w:r>
      <w:r w:rsidR="003948FA">
        <w:t>s</w:t>
      </w:r>
      <w:r>
        <w:t xml:space="preserve"> </w:t>
      </w:r>
      <w:r w:rsidR="003948FA">
        <w:t xml:space="preserve">with </w:t>
      </w:r>
      <w:r>
        <w:t>add</w:t>
      </w:r>
      <w:r w:rsidR="00A0481E">
        <w:t xml:space="preserve">itional </w:t>
      </w:r>
      <w:r w:rsidR="003948FA">
        <w:t xml:space="preserve">useful </w:t>
      </w:r>
      <w:r w:rsidR="00A0481E">
        <w:t xml:space="preserve">information but </w:t>
      </w:r>
      <w:r w:rsidR="003948FA">
        <w:t xml:space="preserve">we are concerned that </w:t>
      </w:r>
      <w:r w:rsidR="0058042A">
        <w:t>in many</w:t>
      </w:r>
      <w:r w:rsidR="00240EBB">
        <w:t xml:space="preserve"> cases the disclosure</w:t>
      </w:r>
      <w:r>
        <w:t xml:space="preserve"> will be in the form of boilerplate language.</w:t>
      </w:r>
    </w:p>
    <w:p w14:paraId="5EA06C8C" w14:textId="77777777" w:rsidR="00AD1FD1" w:rsidRDefault="00AD1FD1" w:rsidP="00AD1FD1"/>
    <w:p w14:paraId="4B71192A" w14:textId="77777777" w:rsidR="00AD1FD1" w:rsidRPr="00B60F55" w:rsidRDefault="00AD1FD1" w:rsidP="00AD1FD1">
      <w:pPr>
        <w:rPr>
          <w:color w:val="FF0000"/>
        </w:rPr>
      </w:pPr>
    </w:p>
    <w:p w14:paraId="4CDF4616" w14:textId="77777777" w:rsidR="00AD1FD1" w:rsidRDefault="00AD1FD1" w:rsidP="00AD1FD1">
      <w:r>
        <w:rPr>
          <w:b/>
        </w:rPr>
        <w:t>Question 7:</w:t>
      </w:r>
      <w:r>
        <w:t xml:space="preserve"> Paragraph 330-10-50-12 proposes a requirement for entities that record inventory using RIM to disclose qualitative and quantitative information about the critical assumptions used under that method.  Is this disclosure requirement incremental to existing guidance for critical accounting estimates and significant accounting policies?  Would it be operable and provide useful information to users?</w:t>
      </w:r>
    </w:p>
    <w:p w14:paraId="6E10B4A3" w14:textId="77777777" w:rsidR="00085E34" w:rsidRDefault="00AD1FD1" w:rsidP="00503B6B">
      <w:r>
        <w:rPr>
          <w:b/>
        </w:rPr>
        <w:t>Response:</w:t>
      </w:r>
      <w:r w:rsidR="00503B6B">
        <w:t xml:space="preserve"> </w:t>
      </w:r>
      <w:r w:rsidR="00503B6B" w:rsidRPr="00503B6B">
        <w:t>The proposed di</w:t>
      </w:r>
      <w:r w:rsidR="0058042A">
        <w:t xml:space="preserve">sclosure requirement in </w:t>
      </w:r>
      <w:r w:rsidR="00503B6B" w:rsidRPr="00503B6B">
        <w:t>to provide qualitative and quantitative information about critica</w:t>
      </w:r>
      <w:r w:rsidR="0058042A">
        <w:t>l assumptions used under RIM is</w:t>
      </w:r>
      <w:r w:rsidR="00503B6B" w:rsidRPr="00503B6B">
        <w:t xml:space="preserve"> incremental to existing guidance for critical accounting estimates and significant accounting policies.  However, AS</w:t>
      </w:r>
      <w:r w:rsidR="0058042A">
        <w:t>C 330-10-50-6 currently requires discl</w:t>
      </w:r>
      <w:r w:rsidR="00085E34">
        <w:t>osure of</w:t>
      </w:r>
      <w:r w:rsidR="00503B6B" w:rsidRPr="00503B6B">
        <w:t xml:space="preserve"> significant estimates applicable to inventories as required by ASC 275, </w:t>
      </w:r>
      <w:r w:rsidR="00503B6B" w:rsidRPr="00503B6B">
        <w:rPr>
          <w:i/>
        </w:rPr>
        <w:t>Risks and Uncertainties</w:t>
      </w:r>
      <w:r w:rsidR="00503B6B" w:rsidRPr="00503B6B">
        <w:t xml:space="preserve"> (ASC 275).  However, ASC 275 addresses situations where based on information available before the financial statements are issued or available to be issued, it is reasonably possible that the estimation of the recoverability of inventory will change in the near term and the effect of that change will be material.  In that regard, existing standards provide users of financial statements information regarding the prospects of future cash flows associated with inventory.  Just as ASC 330-10-50-6 is applicable to all entities, we believe the qualitative disclosure information included in th</w:t>
      </w:r>
      <w:r w:rsidR="00085E34">
        <w:t>e proposed ASU is appropriate for</w:t>
      </w:r>
      <w:r w:rsidR="00503B6B" w:rsidRPr="00503B6B">
        <w:t xml:space="preserve"> all entities, and not just those under the RIM.  We also believe the proposed disclosure, if required as drafted, would be operable as this inf</w:t>
      </w:r>
      <w:r w:rsidR="00085E34">
        <w:t>ormation is readily available to</w:t>
      </w:r>
      <w:r w:rsidR="00503B6B" w:rsidRPr="00503B6B">
        <w:t xml:space="preserve"> entities using the RIM; however, the proposed quantitative disclosure information may not be aggregated at a level required for disclosure which would be problematic.</w:t>
      </w:r>
    </w:p>
    <w:p w14:paraId="29676CA8" w14:textId="14A531D5" w:rsidR="00085E34" w:rsidRDefault="00503B6B" w:rsidP="00503B6B">
      <w:r w:rsidRPr="00503B6B">
        <w:t>For instance, many retailers apply RIM at a store level for departments within each store location.  Providing quantitative aggregated information could be a time-consuming endeavor for many entities.  That being said, we don’t believe the quantitati</w:t>
      </w:r>
      <w:r w:rsidR="00085E34">
        <w:t>ve disclosure would provide</w:t>
      </w:r>
      <w:r w:rsidRPr="00503B6B">
        <w:t xml:space="preserve"> useful information to the financial statement users.  The example disclosure in ASC paragraph 330-10-55-17 reflects data at an overall entity level and providing such aggregated information isn’t predicative of future cash flows given the level of aggregation and the complexities in applying RIM.  Even if more disaggregated information was provided, it still may not be informative given many retailers have hundreds of departments and stores for which cost of inventory is determined.  Expanded disaggregated information may be more confusing to the users of financial statements and would certainly not be cost effective.  Furthermore, other factors such as changes in an entity’s mix, seasonality, consumer and competitive factors inherently limit the ability to project any disaggregated information in assessing an entity’s futu</w:t>
      </w:r>
      <w:r w:rsidR="00085E34">
        <w:t>re cash flows.   Therefore,</w:t>
      </w:r>
      <w:r w:rsidRPr="00503B6B">
        <w:t xml:space="preserve"> we believe providing more extensive disaggregated information would be misleading.</w:t>
      </w:r>
    </w:p>
    <w:p w14:paraId="01E8D9C7" w14:textId="68E0D701" w:rsidR="00503B6B" w:rsidRPr="00503B6B" w:rsidRDefault="00503B6B" w:rsidP="00503B6B">
      <w:r w:rsidRPr="00503B6B">
        <w:t xml:space="preserve">ASC paragraph 330-10-50-1B states one of the objectives of the proposed ASU is to provide </w:t>
      </w:r>
      <w:proofErr w:type="gramStart"/>
      <w:r w:rsidRPr="00503B6B">
        <w:t>users</w:t>
      </w:r>
      <w:proofErr w:type="gramEnd"/>
      <w:r w:rsidRPr="00503B6B">
        <w:t xml:space="preserve"> information about how inventory recorded using different measurement methods may affect the decision usefulness of information for projecting cash flows.  Regardless of the method used to measure inventory, be it RIM, LIFO, FIFO, weighted average cost or moving average costs, all methods are used to </w:t>
      </w:r>
      <w:r w:rsidRPr="00085E34">
        <w:rPr>
          <w:i/>
        </w:rPr>
        <w:t>estimate the</w:t>
      </w:r>
      <w:r w:rsidRPr="00503B6B">
        <w:t xml:space="preserve"> </w:t>
      </w:r>
      <w:r w:rsidRPr="00085E34">
        <w:rPr>
          <w:i/>
        </w:rPr>
        <w:t>cost</w:t>
      </w:r>
      <w:r w:rsidRPr="00503B6B">
        <w:t xml:space="preserve"> of inventory.  The method used to determine the cost of inventory by itself is not a factor used in projecting cash flows of an entity.  </w:t>
      </w:r>
    </w:p>
    <w:p w14:paraId="2C908E10" w14:textId="77777777" w:rsidR="00AD1FD1" w:rsidRPr="00503B6B" w:rsidRDefault="00AD1FD1" w:rsidP="00AD1FD1">
      <w:pPr>
        <w:rPr>
          <w:color w:val="FF0000"/>
        </w:rPr>
      </w:pPr>
    </w:p>
    <w:p w14:paraId="40A6CE02" w14:textId="77777777" w:rsidR="00AD1FD1" w:rsidRDefault="00AD1FD1" w:rsidP="00AD1FD1">
      <w:pPr>
        <w:rPr>
          <w:b/>
        </w:rPr>
      </w:pPr>
    </w:p>
    <w:p w14:paraId="5A3A0688" w14:textId="77777777" w:rsidR="00AD1FD1" w:rsidRDefault="00AD1FD1" w:rsidP="00AD1FD1">
      <w:pPr>
        <w:rPr>
          <w:b/>
        </w:rPr>
      </w:pPr>
    </w:p>
    <w:p w14:paraId="7F196725" w14:textId="77777777" w:rsidR="00AD1FD1" w:rsidRDefault="00AD1FD1" w:rsidP="00AD1FD1">
      <w:r>
        <w:rPr>
          <w:b/>
        </w:rPr>
        <w:t>Question 8:</w:t>
      </w:r>
      <w:r>
        <w:t xml:space="preserve"> Are there any other disclosures that should be required by Topic 330 on the basis of the proposed Concepts Statement or for other reasons? Please explain why.</w:t>
      </w:r>
    </w:p>
    <w:p w14:paraId="0C96EB2F" w14:textId="2DB28DD0" w:rsidR="00AD1FD1" w:rsidRPr="00B60F55" w:rsidRDefault="00AD1FD1" w:rsidP="00AD1FD1">
      <w:pPr>
        <w:rPr>
          <w:color w:val="FF0000"/>
        </w:rPr>
      </w:pPr>
      <w:r>
        <w:rPr>
          <w:b/>
        </w:rPr>
        <w:t>Response:</w:t>
      </w:r>
      <w:r w:rsidR="00A0481E">
        <w:t xml:space="preserve"> None. </w:t>
      </w:r>
    </w:p>
    <w:p w14:paraId="14C91D8E" w14:textId="77777777" w:rsidR="00AD1FD1" w:rsidRDefault="00AD1FD1" w:rsidP="00AD1FD1">
      <w:pPr>
        <w:rPr>
          <w:b/>
        </w:rPr>
      </w:pPr>
    </w:p>
    <w:p w14:paraId="027F7BE6" w14:textId="77777777" w:rsidR="00AD1FD1" w:rsidRDefault="00AD1FD1" w:rsidP="00AD1FD1">
      <w:r>
        <w:rPr>
          <w:b/>
        </w:rPr>
        <w:t>Question 9:</w:t>
      </w:r>
      <w:r>
        <w:t xml:space="preserve"> Should the proposed disclosures be required only for the fiscal year in which the requirements are effective and years after that fiscal year, or should prior periods be restated in the year in which the requirements are effective? Please explain why.</w:t>
      </w:r>
    </w:p>
    <w:p w14:paraId="6FC0D994" w14:textId="21C0A08E" w:rsidR="00AD1FD1" w:rsidRPr="00B60F55" w:rsidRDefault="00AD1FD1" w:rsidP="00AD1FD1">
      <w:r>
        <w:rPr>
          <w:b/>
        </w:rPr>
        <w:t xml:space="preserve">Response: </w:t>
      </w:r>
      <w:r>
        <w:t>We believe the proposed dis</w:t>
      </w:r>
      <w:r w:rsidR="00240EBB">
        <w:t xml:space="preserve">closures should be applied prospectively to </w:t>
      </w:r>
      <w:r>
        <w:t>the fiscal year in which the requireme</w:t>
      </w:r>
      <w:r w:rsidR="00240EBB">
        <w:t>nts are effective. Retrospective application</w:t>
      </w:r>
      <w:r>
        <w:t xml:space="preserve"> of prior period </w:t>
      </w:r>
      <w:r w:rsidR="00240EBB">
        <w:t xml:space="preserve">disclosure </w:t>
      </w:r>
      <w:r>
        <w:t>in</w:t>
      </w:r>
      <w:r w:rsidR="00240EBB">
        <w:t xml:space="preserve">formation would not provide </w:t>
      </w:r>
      <w:r>
        <w:t>user</w:t>
      </w:r>
      <w:r w:rsidR="00240EBB">
        <w:t>s</w:t>
      </w:r>
      <w:r>
        <w:t xml:space="preserve"> of the financi</w:t>
      </w:r>
      <w:r w:rsidR="00240EBB">
        <w:t>al statements additional decision useful information, as the additional information for the period would not be deemed timely</w:t>
      </w:r>
      <w:r>
        <w:t>.</w:t>
      </w:r>
    </w:p>
    <w:p w14:paraId="5467F75B" w14:textId="77777777" w:rsidR="00AD1FD1" w:rsidRDefault="00AD1FD1" w:rsidP="00AD1FD1">
      <w:pPr>
        <w:rPr>
          <w:b/>
        </w:rPr>
      </w:pPr>
    </w:p>
    <w:p w14:paraId="338940E4" w14:textId="77777777" w:rsidR="00AD1FD1" w:rsidRDefault="00AD1FD1" w:rsidP="00AD1FD1">
      <w:r>
        <w:rPr>
          <w:b/>
        </w:rPr>
        <w:t xml:space="preserve">Question 10: </w:t>
      </w:r>
      <w:r>
        <w:t>How much time would be needed to implement the proposed amendments? Should the amount of time needed to implement the proposed amendments by entities other than public business entities be different from the amount of time needed by public business entities? Should early adoption be permitted? Please explain why.</w:t>
      </w:r>
    </w:p>
    <w:p w14:paraId="338B34B5" w14:textId="77777777" w:rsidR="00AD1FD1" w:rsidRPr="00A21692" w:rsidRDefault="00AD1FD1" w:rsidP="00AD1FD1">
      <w:r>
        <w:rPr>
          <w:b/>
        </w:rPr>
        <w:t xml:space="preserve">Response: </w:t>
      </w:r>
      <w:r>
        <w:t>We believe the information is readily available to implement the proposed amendments. Non-public entities should be allowed an additional year before implementation is required to allow for system changes if necessary to gather required disclosure information.</w:t>
      </w:r>
    </w:p>
    <w:p w14:paraId="33941418" w14:textId="408CD7DA" w:rsidR="0007216B" w:rsidRPr="000A5BCF" w:rsidRDefault="0007216B" w:rsidP="0007216B">
      <w:pPr>
        <w:pStyle w:val="NoSpacing"/>
        <w:jc w:val="both"/>
      </w:pPr>
      <w:r w:rsidRPr="0007216B">
        <w:t xml:space="preserve"> </w:t>
      </w:r>
    </w:p>
    <w:p w14:paraId="6D3BFF98" w14:textId="131B67B9" w:rsidR="00EF2EC1" w:rsidRPr="000A5BCF" w:rsidRDefault="00EF2EC1" w:rsidP="00EF2EC1">
      <w:pPr>
        <w:pStyle w:val="NoSpacing"/>
        <w:jc w:val="both"/>
        <w:rPr>
          <w:bCs/>
        </w:rPr>
      </w:pPr>
    </w:p>
    <w:p w14:paraId="0A3B64B9" w14:textId="3A5B7CF9" w:rsidR="00EF2EC1" w:rsidRPr="00EF2EC1" w:rsidRDefault="00A0481E" w:rsidP="00EF2EC1">
      <w:pPr>
        <w:pStyle w:val="NoSpacing"/>
        <w:jc w:val="both"/>
      </w:pPr>
      <w:r w:rsidRPr="007146CF">
        <w:rPr>
          <w:b/>
        </w:rPr>
        <w:t>Other comments</w:t>
      </w:r>
      <w:r>
        <w:t xml:space="preserve">:  </w:t>
      </w:r>
      <w:r w:rsidR="00397A28">
        <w:t>W</w:t>
      </w:r>
      <w:r>
        <w:t>e also wish to express to the Board our concerns about</w:t>
      </w:r>
      <w:r w:rsidR="00342A51">
        <w:t xml:space="preserve"> the timing of the issuance of this particular ASU and its January through March comment period.  T</w:t>
      </w:r>
      <w:r>
        <w:t xml:space="preserve">he disclosure changes </w:t>
      </w:r>
      <w:r w:rsidR="00342A51">
        <w:t>in t</w:t>
      </w:r>
      <w:r w:rsidR="00397A28">
        <w:t>his proposed ASU are</w:t>
      </w:r>
      <w:r w:rsidR="00342A51">
        <w:t xml:space="preserve"> potentially</w:t>
      </w:r>
      <w:r w:rsidR="00397A28">
        <w:t xml:space="preserve"> </w:t>
      </w:r>
      <w:r>
        <w:t xml:space="preserve">significant, </w:t>
      </w:r>
      <w:r w:rsidR="00342A51">
        <w:t>as inventory disclosures</w:t>
      </w:r>
      <w:r w:rsidR="00811555">
        <w:t xml:space="preserve"> </w:t>
      </w:r>
      <w:r>
        <w:t xml:space="preserve">could affect nearly </w:t>
      </w:r>
      <w:r w:rsidR="00811555">
        <w:t>as many entities as the revenue recognition and lease projects.  Having a proposed ASU and</w:t>
      </w:r>
      <w:r>
        <w:t xml:space="preserve"> comment</w:t>
      </w:r>
      <w:r w:rsidR="00811555">
        <w:t xml:space="preserve"> period with due dates within a time period where many practitioners are focusing on multiple financial statement issuances and public filing deadlines </w:t>
      </w:r>
      <w:r>
        <w:t>reduces the likelihood of man</w:t>
      </w:r>
      <w:r w:rsidR="00811555">
        <w:t>y practitioners being able to provide constructive f</w:t>
      </w:r>
      <w:r w:rsidR="00397A28">
        <w:t xml:space="preserve">eedback to the Board.  We </w:t>
      </w:r>
      <w:r w:rsidR="00811555">
        <w:t>recommend that</w:t>
      </w:r>
      <w:r>
        <w:t xml:space="preserve"> the Board </w:t>
      </w:r>
      <w:r w:rsidR="00811555">
        <w:t>consider this impact on standard setting</w:t>
      </w:r>
      <w:r w:rsidR="007F193A">
        <w:t xml:space="preserve"> and the comment process.</w:t>
      </w:r>
      <w:r>
        <w:t xml:space="preserve">  </w:t>
      </w:r>
    </w:p>
    <w:p w14:paraId="679C465D" w14:textId="5357A4F7" w:rsidR="00EF2EC1" w:rsidRDefault="00EF2EC1" w:rsidP="00316CB2">
      <w:pPr>
        <w:pStyle w:val="NoSpacing"/>
        <w:jc w:val="both"/>
        <w:rPr>
          <w:bCs/>
        </w:rPr>
      </w:pPr>
    </w:p>
    <w:p w14:paraId="64607F95" w14:textId="77777777" w:rsidR="00AD1FD1" w:rsidRPr="00AD1FD1" w:rsidRDefault="00AD1FD1" w:rsidP="00316CB2">
      <w:pPr>
        <w:pStyle w:val="NoSpacing"/>
        <w:jc w:val="both"/>
        <w:rPr>
          <w:bCs/>
        </w:rPr>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lastRenderedPageBreak/>
        <w:t>Sincerely,</w:t>
      </w:r>
    </w:p>
    <w:p w14:paraId="3A85EA07" w14:textId="77777777" w:rsidR="00316CB2" w:rsidRPr="00F21F08" w:rsidRDefault="00316CB2" w:rsidP="00316CB2">
      <w:pPr>
        <w:jc w:val="both"/>
      </w:pPr>
    </w:p>
    <w:p w14:paraId="5A164767"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23BE300F" w14:textId="77777777" w:rsidR="008A791F" w:rsidRPr="008B1FB7"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508CC94E" w14:textId="4F879CA1" w:rsidR="001674EA" w:rsidRDefault="001674EA" w:rsidP="00316CB2">
      <w:pPr>
        <w:spacing w:after="0"/>
        <w:jc w:val="both"/>
        <w:sectPr w:rsidR="001674EA" w:rsidSect="001674EA">
          <w:footerReference w:type="default" r:id="rId9"/>
          <w:headerReference w:type="first" r:id="rId10"/>
          <w:pgSz w:w="12240" w:h="15840"/>
          <w:pgMar w:top="1440" w:right="1152" w:bottom="1440" w:left="1440" w:header="720" w:footer="720" w:gutter="0"/>
          <w:cols w:space="720"/>
          <w:titlePg/>
          <w:docGrid w:linePitch="360"/>
        </w:sectPr>
      </w:pPr>
    </w:p>
    <w:p w14:paraId="387D7F9E" w14:textId="24EA6E0E" w:rsidR="00316CB2" w:rsidRPr="00F34F90" w:rsidRDefault="00316CB2" w:rsidP="00316CB2">
      <w:pPr>
        <w:spacing w:after="0"/>
        <w:jc w:val="both"/>
      </w:pPr>
    </w:p>
    <w:p w14:paraId="46CD7DAA" w14:textId="77777777" w:rsidR="008A791F" w:rsidRPr="001077B6" w:rsidRDefault="008A791F" w:rsidP="008A791F">
      <w:pPr>
        <w:jc w:val="center"/>
        <w:rPr>
          <w:sz w:val="18"/>
          <w:szCs w:val="18"/>
        </w:rPr>
      </w:pPr>
      <w:r w:rsidRPr="001077B6">
        <w:rPr>
          <w:sz w:val="18"/>
          <w:szCs w:val="18"/>
        </w:rPr>
        <w:t>APPENDIX A</w:t>
      </w:r>
    </w:p>
    <w:p w14:paraId="545ACFDA" w14:textId="77777777" w:rsidR="008A791F" w:rsidRPr="001077B6" w:rsidRDefault="008A791F" w:rsidP="008A791F">
      <w:pPr>
        <w:tabs>
          <w:tab w:val="center" w:pos="4680"/>
        </w:tabs>
        <w:suppressAutoHyphens/>
        <w:spacing w:after="0"/>
        <w:jc w:val="center"/>
        <w:rPr>
          <w:sz w:val="18"/>
          <w:szCs w:val="18"/>
        </w:rPr>
      </w:pPr>
      <w:r w:rsidRPr="001077B6">
        <w:rPr>
          <w:sz w:val="18"/>
          <w:szCs w:val="18"/>
        </w:rPr>
        <w:t>ACCOUNTING PRINCIPLES COMMITTEE</w:t>
      </w:r>
    </w:p>
    <w:p w14:paraId="3AE4CA05" w14:textId="77777777" w:rsidR="008A791F" w:rsidRPr="001077B6" w:rsidRDefault="008A791F" w:rsidP="008A791F">
      <w:pPr>
        <w:tabs>
          <w:tab w:val="center" w:pos="4680"/>
        </w:tabs>
        <w:suppressAutoHyphens/>
        <w:spacing w:after="0"/>
        <w:jc w:val="center"/>
        <w:rPr>
          <w:sz w:val="18"/>
          <w:szCs w:val="18"/>
        </w:rPr>
      </w:pPr>
      <w:r w:rsidRPr="001077B6">
        <w:rPr>
          <w:sz w:val="18"/>
          <w:szCs w:val="18"/>
        </w:rPr>
        <w:t>ORGANIZATION AND OPERATING PROCEDURES</w:t>
      </w:r>
    </w:p>
    <w:p w14:paraId="7626E3E6" w14:textId="77777777" w:rsidR="008A791F" w:rsidRPr="001077B6" w:rsidRDefault="008A791F" w:rsidP="008A791F">
      <w:pPr>
        <w:tabs>
          <w:tab w:val="center" w:pos="4680"/>
        </w:tabs>
        <w:suppressAutoHyphens/>
        <w:spacing w:after="0"/>
        <w:jc w:val="center"/>
        <w:rPr>
          <w:sz w:val="18"/>
          <w:szCs w:val="18"/>
        </w:rPr>
      </w:pPr>
      <w:r w:rsidRPr="001077B6">
        <w:rPr>
          <w:sz w:val="18"/>
          <w:szCs w:val="18"/>
        </w:rPr>
        <w:t>201</w:t>
      </w:r>
      <w:r>
        <w:rPr>
          <w:sz w:val="18"/>
          <w:szCs w:val="18"/>
        </w:rPr>
        <w:t>6-2017</w:t>
      </w:r>
    </w:p>
    <w:p w14:paraId="4D01F6B3" w14:textId="77777777" w:rsidR="008A791F" w:rsidRPr="001077B6" w:rsidRDefault="008A791F" w:rsidP="008A791F">
      <w:pPr>
        <w:tabs>
          <w:tab w:val="center" w:pos="4680"/>
        </w:tabs>
        <w:suppressAutoHyphens/>
        <w:spacing w:after="0"/>
        <w:jc w:val="center"/>
        <w:rPr>
          <w:sz w:val="24"/>
          <w:szCs w:val="24"/>
        </w:rPr>
      </w:pPr>
    </w:p>
    <w:p w14:paraId="5F620C83" w14:textId="77777777" w:rsidR="008A791F" w:rsidRPr="00075D65" w:rsidRDefault="008A791F" w:rsidP="008A791F">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4F86F579" w14:textId="77777777" w:rsidR="008A791F" w:rsidRPr="001077B6" w:rsidRDefault="008A791F" w:rsidP="008A791F">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078414C7"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Public Accounting Firms:</w:t>
      </w:r>
    </w:p>
    <w:p w14:paraId="711DC665"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1E51020F" w14:textId="77777777" w:rsidR="008A791F"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24C8CC8C" w14:textId="77777777" w:rsidR="008A791F" w:rsidRPr="00137076"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65BDB32" w14:textId="77777777" w:rsidR="008A791F"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CF4D9D1" w14:textId="77777777" w:rsidR="008A791F" w:rsidRPr="00137076"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6854F9CB" w14:textId="77777777" w:rsidR="008A791F" w:rsidRPr="00137076" w:rsidRDefault="008A791F" w:rsidP="008A791F">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1EFFDCE8" w14:textId="77777777" w:rsidR="008A791F" w:rsidRDefault="008A791F" w:rsidP="008A791F">
      <w:pPr>
        <w:tabs>
          <w:tab w:val="left" w:pos="-720"/>
        </w:tabs>
        <w:suppressAutoHyphens/>
        <w:spacing w:after="0"/>
        <w:jc w:val="both"/>
        <w:rPr>
          <w:b/>
          <w:spacing w:val="-3"/>
          <w:sz w:val="18"/>
          <w:szCs w:val="18"/>
        </w:rPr>
      </w:pPr>
      <w:r>
        <w:rPr>
          <w:b/>
          <w:spacing w:val="-3"/>
          <w:sz w:val="18"/>
          <w:szCs w:val="18"/>
        </w:rPr>
        <w:t>Educators:</w:t>
      </w:r>
    </w:p>
    <w:p w14:paraId="58CA62EE" w14:textId="77777777" w:rsidR="008A791F" w:rsidRPr="00137076" w:rsidRDefault="008A791F" w:rsidP="008A791F">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67423C92" w14:textId="77777777" w:rsidR="008A791F" w:rsidRDefault="008A791F" w:rsidP="008A791F">
      <w:pPr>
        <w:tabs>
          <w:tab w:val="left" w:pos="-720"/>
        </w:tabs>
        <w:suppressAutoHyphens/>
        <w:spacing w:after="0"/>
        <w:jc w:val="both"/>
        <w:rPr>
          <w:b/>
          <w:spacing w:val="-3"/>
          <w:sz w:val="18"/>
          <w:szCs w:val="18"/>
        </w:rPr>
      </w:pPr>
    </w:p>
    <w:p w14:paraId="731A8D65" w14:textId="77777777" w:rsidR="008A791F" w:rsidRPr="00137076" w:rsidRDefault="008A791F" w:rsidP="008A791F">
      <w:pPr>
        <w:tabs>
          <w:tab w:val="left" w:pos="-720"/>
        </w:tabs>
        <w:suppressAutoHyphens/>
        <w:spacing w:after="0"/>
        <w:jc w:val="both"/>
        <w:rPr>
          <w:b/>
          <w:spacing w:val="-3"/>
          <w:sz w:val="18"/>
          <w:szCs w:val="18"/>
        </w:rPr>
      </w:pPr>
      <w:r w:rsidRPr="00137076">
        <w:rPr>
          <w:b/>
          <w:spacing w:val="-3"/>
          <w:sz w:val="18"/>
          <w:szCs w:val="18"/>
        </w:rPr>
        <w:t>Industry:</w:t>
      </w:r>
    </w:p>
    <w:p w14:paraId="5CAF4C28"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Pr>
          <w:spacing w:val="-3"/>
          <w:sz w:val="18"/>
          <w:szCs w:val="18"/>
        </w:rPr>
        <w:t>Mattersight</w:t>
      </w:r>
      <w:proofErr w:type="spellEnd"/>
      <w:r>
        <w:rPr>
          <w:spacing w:val="-3"/>
          <w:sz w:val="18"/>
          <w:szCs w:val="18"/>
        </w:rPr>
        <w:t xml:space="preserve"> Corp.</w:t>
      </w:r>
    </w:p>
    <w:p w14:paraId="4C098D19" w14:textId="3F2A3C10"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r>
    </w:p>
    <w:p w14:paraId="2576C782"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r>
      <w:proofErr w:type="gramStart"/>
      <w:r>
        <w:rPr>
          <w:spacing w:val="-3"/>
          <w:sz w:val="18"/>
          <w:szCs w:val="18"/>
        </w:rPr>
        <w:t>Jeffrey Ellis, CPA</w:t>
      </w:r>
      <w:r>
        <w:rPr>
          <w:spacing w:val="-3"/>
          <w:sz w:val="18"/>
          <w:szCs w:val="18"/>
        </w:rPr>
        <w:tab/>
      </w:r>
      <w:r>
        <w:rPr>
          <w:spacing w:val="-3"/>
          <w:sz w:val="18"/>
          <w:szCs w:val="18"/>
        </w:rPr>
        <w:tab/>
      </w:r>
      <w:r>
        <w:rPr>
          <w:spacing w:val="-3"/>
          <w:sz w:val="18"/>
          <w:szCs w:val="18"/>
        </w:rPr>
        <w:tab/>
        <w:t>FTI Consulting, Inc.</w:t>
      </w:r>
      <w:proofErr w:type="gramEnd"/>
      <w:r>
        <w:rPr>
          <w:spacing w:val="-3"/>
          <w:sz w:val="18"/>
          <w:szCs w:val="18"/>
        </w:rPr>
        <w:t xml:space="preserve"> </w:t>
      </w:r>
      <w:r w:rsidRPr="00137076">
        <w:rPr>
          <w:spacing w:val="-3"/>
          <w:sz w:val="18"/>
          <w:szCs w:val="18"/>
        </w:rPr>
        <w:tab/>
      </w:r>
    </w:p>
    <w:p w14:paraId="53F31C5E" w14:textId="77777777" w:rsidR="008A791F" w:rsidRPr="00137076" w:rsidRDefault="008A791F" w:rsidP="008A791F">
      <w:pPr>
        <w:ind w:left="360"/>
        <w:rPr>
          <w:spacing w:val="-3"/>
          <w:sz w:val="18"/>
          <w:szCs w:val="18"/>
        </w:rPr>
      </w:pPr>
      <w:bookmarkStart w:id="0" w:name="_GoBack"/>
      <w:bookmarkEnd w:id="0"/>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30942907" w14:textId="77777777" w:rsidR="008A791F" w:rsidRPr="00137076" w:rsidRDefault="008A791F" w:rsidP="008A791F">
      <w:pPr>
        <w:tabs>
          <w:tab w:val="left" w:pos="360"/>
          <w:tab w:val="left" w:pos="4230"/>
        </w:tabs>
        <w:spacing w:after="0"/>
        <w:rPr>
          <w:b/>
          <w:sz w:val="18"/>
          <w:szCs w:val="18"/>
        </w:rPr>
      </w:pPr>
      <w:r w:rsidRPr="00137076">
        <w:rPr>
          <w:b/>
          <w:sz w:val="18"/>
          <w:szCs w:val="18"/>
        </w:rPr>
        <w:t>Staff Representative:</w:t>
      </w:r>
    </w:p>
    <w:p w14:paraId="3EF6B414" w14:textId="77777777" w:rsidR="008A791F" w:rsidRPr="00B36A5E" w:rsidRDefault="008A791F" w:rsidP="008A791F">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40212BCE" w14:textId="77777777" w:rsidR="00A82D39" w:rsidRDefault="00A82D39" w:rsidP="008A791F">
      <w:pPr>
        <w:jc w:val="center"/>
        <w:rPr>
          <w:sz w:val="18"/>
          <w:szCs w:val="18"/>
        </w:rPr>
      </w:pPr>
    </w:p>
    <w:sectPr w:rsidR="00A82D39" w:rsidSect="000C1399">
      <w:headerReference w:type="first" r:id="rId11"/>
      <w:pgSz w:w="12240" w:h="15840"/>
      <w:pgMar w:top="1440" w:right="1152"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E9340" w15:done="0"/>
  <w15:commentEx w15:paraId="5AF67894" w15:paraIdParent="2BDE9340" w15:done="0"/>
  <w15:commentEx w15:paraId="25CC5662" w15:done="0"/>
  <w15:commentEx w15:paraId="00DFA617" w15:paraIdParent="25CC5662" w15:done="0"/>
  <w15:commentEx w15:paraId="2B1ABBAE" w15:paraIdParent="25CC5662" w15:done="0"/>
  <w15:commentEx w15:paraId="7DC819C5" w15:done="0"/>
  <w15:commentEx w15:paraId="3DAD8DE0" w15:paraIdParent="7DC819C5" w15:done="0"/>
  <w15:commentEx w15:paraId="1E1CDB94" w15:paraIdParent="7DC819C5" w15:done="0"/>
  <w15:commentEx w15:paraId="1AFD5ACE" w15:done="0"/>
  <w15:commentEx w15:paraId="46FEAD0E" w15:done="0"/>
  <w15:commentEx w15:paraId="660ABBD9" w15:paraIdParent="46FEAD0E" w15:done="0"/>
  <w15:commentEx w15:paraId="3FE00E7B" w15:paraIdParent="46FEAD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A24E" w14:textId="77777777" w:rsidR="00A84EC1" w:rsidRDefault="00A84EC1" w:rsidP="00C07D21">
      <w:pPr>
        <w:spacing w:after="0" w:line="240" w:lineRule="auto"/>
      </w:pPr>
      <w:r>
        <w:separator/>
      </w:r>
    </w:p>
  </w:endnote>
  <w:endnote w:type="continuationSeparator" w:id="0">
    <w:p w14:paraId="694287B6" w14:textId="77777777" w:rsidR="00A84EC1" w:rsidRDefault="00A84EC1"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3793"/>
      <w:docPartObj>
        <w:docPartGallery w:val="Page Numbers (Bottom of Page)"/>
        <w:docPartUnique/>
      </w:docPartObj>
    </w:sdtPr>
    <w:sdtEndPr>
      <w:rPr>
        <w:noProof/>
      </w:rPr>
    </w:sdtEndPr>
    <w:sdtContent>
      <w:p w14:paraId="056F93FC" w14:textId="4B621B86" w:rsidR="001B3F79" w:rsidRDefault="001B3F79">
        <w:pPr>
          <w:pStyle w:val="Footer"/>
          <w:jc w:val="center"/>
        </w:pPr>
        <w:r>
          <w:fldChar w:fldCharType="begin"/>
        </w:r>
        <w:r>
          <w:instrText xml:space="preserve"> PAGE   \* MERGEFORMAT </w:instrText>
        </w:r>
        <w:r>
          <w:fldChar w:fldCharType="separate"/>
        </w:r>
        <w:r w:rsidR="007677F7">
          <w:rPr>
            <w:noProof/>
          </w:rPr>
          <w:t>5</w:t>
        </w:r>
        <w:r>
          <w:rPr>
            <w:noProof/>
          </w:rPr>
          <w:fldChar w:fldCharType="end"/>
        </w:r>
      </w:p>
    </w:sdtContent>
  </w:sdt>
  <w:p w14:paraId="460A7FDB" w14:textId="77777777" w:rsidR="001B3F79" w:rsidRDefault="001B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46913" w14:textId="77777777" w:rsidR="00A84EC1" w:rsidRDefault="00A84EC1" w:rsidP="00C07D21">
      <w:pPr>
        <w:spacing w:after="0" w:line="240" w:lineRule="auto"/>
      </w:pPr>
      <w:r>
        <w:separator/>
      </w:r>
    </w:p>
  </w:footnote>
  <w:footnote w:type="continuationSeparator" w:id="0">
    <w:p w14:paraId="182EAC1C" w14:textId="77777777" w:rsidR="00A84EC1" w:rsidRDefault="00A84EC1"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6495" w14:textId="77777777" w:rsidR="001B3F79" w:rsidRDefault="001B3F79"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6F7C" w14:textId="5BA94C95" w:rsidR="001B3F79" w:rsidRDefault="001B3F79" w:rsidP="0064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y, Ryan">
    <w15:presenceInfo w15:providerId="AD" w15:userId="S-1-5-21-507921405-362288127-725345543-33240"/>
  </w15:person>
  <w15:person w15:author="Bill Keirse">
    <w15:presenceInfo w15:providerId="AD" w15:userId="S-1-5-21-3814449816-1147414744-3287126245-16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2C0D"/>
    <w:rsid w:val="00004376"/>
    <w:rsid w:val="0000540A"/>
    <w:rsid w:val="00006FBB"/>
    <w:rsid w:val="00007C01"/>
    <w:rsid w:val="000142EA"/>
    <w:rsid w:val="00015F5C"/>
    <w:rsid w:val="000165D5"/>
    <w:rsid w:val="00033CA4"/>
    <w:rsid w:val="000357B3"/>
    <w:rsid w:val="00036742"/>
    <w:rsid w:val="000369D7"/>
    <w:rsid w:val="000425EA"/>
    <w:rsid w:val="00042A30"/>
    <w:rsid w:val="00050D70"/>
    <w:rsid w:val="00052BC9"/>
    <w:rsid w:val="00060B2D"/>
    <w:rsid w:val="000669A0"/>
    <w:rsid w:val="0007216B"/>
    <w:rsid w:val="00073542"/>
    <w:rsid w:val="00076F8E"/>
    <w:rsid w:val="00082A58"/>
    <w:rsid w:val="00085888"/>
    <w:rsid w:val="00085E34"/>
    <w:rsid w:val="0009050E"/>
    <w:rsid w:val="000933FE"/>
    <w:rsid w:val="000A093C"/>
    <w:rsid w:val="000A20B1"/>
    <w:rsid w:val="000A3FA9"/>
    <w:rsid w:val="000A44F0"/>
    <w:rsid w:val="000A5BCF"/>
    <w:rsid w:val="000A6B72"/>
    <w:rsid w:val="000B4451"/>
    <w:rsid w:val="000C1399"/>
    <w:rsid w:val="000C3AD7"/>
    <w:rsid w:val="000D2287"/>
    <w:rsid w:val="000D2962"/>
    <w:rsid w:val="000D47BE"/>
    <w:rsid w:val="000D4CFC"/>
    <w:rsid w:val="000D7B0D"/>
    <w:rsid w:val="000E3CD4"/>
    <w:rsid w:val="000E55EB"/>
    <w:rsid w:val="000E6AA7"/>
    <w:rsid w:val="00107FEC"/>
    <w:rsid w:val="00112C4E"/>
    <w:rsid w:val="0011453E"/>
    <w:rsid w:val="00116708"/>
    <w:rsid w:val="0011726D"/>
    <w:rsid w:val="00117E71"/>
    <w:rsid w:val="00120B3D"/>
    <w:rsid w:val="00122BBC"/>
    <w:rsid w:val="0012314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1283"/>
    <w:rsid w:val="00171936"/>
    <w:rsid w:val="00174285"/>
    <w:rsid w:val="00176186"/>
    <w:rsid w:val="001832B0"/>
    <w:rsid w:val="001860C0"/>
    <w:rsid w:val="001864B1"/>
    <w:rsid w:val="00186D38"/>
    <w:rsid w:val="001932CA"/>
    <w:rsid w:val="00194472"/>
    <w:rsid w:val="001A49DB"/>
    <w:rsid w:val="001A791C"/>
    <w:rsid w:val="001B0429"/>
    <w:rsid w:val="001B105C"/>
    <w:rsid w:val="001B1CF8"/>
    <w:rsid w:val="001B3F79"/>
    <w:rsid w:val="001C06AB"/>
    <w:rsid w:val="001C4781"/>
    <w:rsid w:val="001C6257"/>
    <w:rsid w:val="001D009B"/>
    <w:rsid w:val="001D229D"/>
    <w:rsid w:val="001D3215"/>
    <w:rsid w:val="001D5FBB"/>
    <w:rsid w:val="001D79D0"/>
    <w:rsid w:val="001D79EE"/>
    <w:rsid w:val="00205CF6"/>
    <w:rsid w:val="00213866"/>
    <w:rsid w:val="00214696"/>
    <w:rsid w:val="00216DA8"/>
    <w:rsid w:val="00217C14"/>
    <w:rsid w:val="00227C4F"/>
    <w:rsid w:val="00230273"/>
    <w:rsid w:val="00234EB5"/>
    <w:rsid w:val="002377DA"/>
    <w:rsid w:val="00240EBB"/>
    <w:rsid w:val="0024269F"/>
    <w:rsid w:val="002437EC"/>
    <w:rsid w:val="0024624C"/>
    <w:rsid w:val="00246E3D"/>
    <w:rsid w:val="002537CF"/>
    <w:rsid w:val="00254FFE"/>
    <w:rsid w:val="002631AA"/>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2A66"/>
    <w:rsid w:val="002A57B5"/>
    <w:rsid w:val="002A6821"/>
    <w:rsid w:val="002A7DE1"/>
    <w:rsid w:val="002B3F2F"/>
    <w:rsid w:val="002C0FD7"/>
    <w:rsid w:val="002C1FB8"/>
    <w:rsid w:val="002C4712"/>
    <w:rsid w:val="002C4993"/>
    <w:rsid w:val="002C5F65"/>
    <w:rsid w:val="002C690C"/>
    <w:rsid w:val="002D74CA"/>
    <w:rsid w:val="002D7F15"/>
    <w:rsid w:val="002E285D"/>
    <w:rsid w:val="002F1C78"/>
    <w:rsid w:val="002F57E5"/>
    <w:rsid w:val="002F640C"/>
    <w:rsid w:val="002F69AD"/>
    <w:rsid w:val="00303381"/>
    <w:rsid w:val="003033B8"/>
    <w:rsid w:val="0030432E"/>
    <w:rsid w:val="003065C7"/>
    <w:rsid w:val="003144A1"/>
    <w:rsid w:val="00315FBB"/>
    <w:rsid w:val="00316CB2"/>
    <w:rsid w:val="00320473"/>
    <w:rsid w:val="00321BBD"/>
    <w:rsid w:val="00341352"/>
    <w:rsid w:val="00341D0A"/>
    <w:rsid w:val="00342A51"/>
    <w:rsid w:val="00344E59"/>
    <w:rsid w:val="003458FA"/>
    <w:rsid w:val="00347085"/>
    <w:rsid w:val="00347677"/>
    <w:rsid w:val="00347B8D"/>
    <w:rsid w:val="0035106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948FA"/>
    <w:rsid w:val="00397A28"/>
    <w:rsid w:val="003A0467"/>
    <w:rsid w:val="003A53E2"/>
    <w:rsid w:val="003A7E3A"/>
    <w:rsid w:val="003C0300"/>
    <w:rsid w:val="003C568A"/>
    <w:rsid w:val="003C774E"/>
    <w:rsid w:val="003C7BD9"/>
    <w:rsid w:val="003D2B85"/>
    <w:rsid w:val="003D4BFC"/>
    <w:rsid w:val="003F17CA"/>
    <w:rsid w:val="003F2057"/>
    <w:rsid w:val="003F2DB1"/>
    <w:rsid w:val="003F3CCF"/>
    <w:rsid w:val="003F63B5"/>
    <w:rsid w:val="004007E7"/>
    <w:rsid w:val="00403D79"/>
    <w:rsid w:val="00407C2F"/>
    <w:rsid w:val="00415EC8"/>
    <w:rsid w:val="0041714B"/>
    <w:rsid w:val="004218FF"/>
    <w:rsid w:val="00432F71"/>
    <w:rsid w:val="0043764D"/>
    <w:rsid w:val="00437DC4"/>
    <w:rsid w:val="00440186"/>
    <w:rsid w:val="00443E9E"/>
    <w:rsid w:val="00452EDD"/>
    <w:rsid w:val="00455A3C"/>
    <w:rsid w:val="00456248"/>
    <w:rsid w:val="00456BED"/>
    <w:rsid w:val="0046173A"/>
    <w:rsid w:val="004653E5"/>
    <w:rsid w:val="00473B4A"/>
    <w:rsid w:val="00476BC9"/>
    <w:rsid w:val="00482C0E"/>
    <w:rsid w:val="00483CC0"/>
    <w:rsid w:val="004843CB"/>
    <w:rsid w:val="004857F4"/>
    <w:rsid w:val="004878C9"/>
    <w:rsid w:val="004952E0"/>
    <w:rsid w:val="004A0380"/>
    <w:rsid w:val="004A2D3A"/>
    <w:rsid w:val="004B24F6"/>
    <w:rsid w:val="004B52D3"/>
    <w:rsid w:val="004C1A16"/>
    <w:rsid w:val="004C2DCA"/>
    <w:rsid w:val="004C3681"/>
    <w:rsid w:val="004C7977"/>
    <w:rsid w:val="004C7C02"/>
    <w:rsid w:val="004D0B2F"/>
    <w:rsid w:val="004D1C90"/>
    <w:rsid w:val="004D587C"/>
    <w:rsid w:val="004D6862"/>
    <w:rsid w:val="004D7F3E"/>
    <w:rsid w:val="004E2126"/>
    <w:rsid w:val="004E2E28"/>
    <w:rsid w:val="004E4BAA"/>
    <w:rsid w:val="004E59F1"/>
    <w:rsid w:val="004E7B18"/>
    <w:rsid w:val="00503B6B"/>
    <w:rsid w:val="005069E0"/>
    <w:rsid w:val="00512916"/>
    <w:rsid w:val="00515C4D"/>
    <w:rsid w:val="00517FA2"/>
    <w:rsid w:val="005226CD"/>
    <w:rsid w:val="005229F1"/>
    <w:rsid w:val="00522CA3"/>
    <w:rsid w:val="00523330"/>
    <w:rsid w:val="005251D7"/>
    <w:rsid w:val="00526D3A"/>
    <w:rsid w:val="00553D03"/>
    <w:rsid w:val="00554979"/>
    <w:rsid w:val="00556943"/>
    <w:rsid w:val="00565C7C"/>
    <w:rsid w:val="00572D60"/>
    <w:rsid w:val="00572F95"/>
    <w:rsid w:val="0057628A"/>
    <w:rsid w:val="0058019E"/>
    <w:rsid w:val="0058042A"/>
    <w:rsid w:val="00582667"/>
    <w:rsid w:val="00590E71"/>
    <w:rsid w:val="00593157"/>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AD3"/>
    <w:rsid w:val="005E0C54"/>
    <w:rsid w:val="005E2667"/>
    <w:rsid w:val="005F3210"/>
    <w:rsid w:val="005F434F"/>
    <w:rsid w:val="00600552"/>
    <w:rsid w:val="006063A7"/>
    <w:rsid w:val="00607BE2"/>
    <w:rsid w:val="006107EA"/>
    <w:rsid w:val="00621795"/>
    <w:rsid w:val="00623199"/>
    <w:rsid w:val="00623CDA"/>
    <w:rsid w:val="00631F9E"/>
    <w:rsid w:val="00633DD6"/>
    <w:rsid w:val="006429B1"/>
    <w:rsid w:val="006466A3"/>
    <w:rsid w:val="006534C8"/>
    <w:rsid w:val="00656D0E"/>
    <w:rsid w:val="00660DD9"/>
    <w:rsid w:val="00660FAA"/>
    <w:rsid w:val="00671140"/>
    <w:rsid w:val="00677BD2"/>
    <w:rsid w:val="00682D9C"/>
    <w:rsid w:val="00684637"/>
    <w:rsid w:val="00686600"/>
    <w:rsid w:val="00695769"/>
    <w:rsid w:val="0069581C"/>
    <w:rsid w:val="006A1311"/>
    <w:rsid w:val="006B0335"/>
    <w:rsid w:val="006B63FE"/>
    <w:rsid w:val="006B6654"/>
    <w:rsid w:val="006D4657"/>
    <w:rsid w:val="006D62AB"/>
    <w:rsid w:val="006D7FE5"/>
    <w:rsid w:val="006E04FA"/>
    <w:rsid w:val="006E5A23"/>
    <w:rsid w:val="006E7763"/>
    <w:rsid w:val="006F1EF9"/>
    <w:rsid w:val="006F4236"/>
    <w:rsid w:val="006F5863"/>
    <w:rsid w:val="00705AB5"/>
    <w:rsid w:val="00705E17"/>
    <w:rsid w:val="00712B14"/>
    <w:rsid w:val="007146CF"/>
    <w:rsid w:val="00714F6A"/>
    <w:rsid w:val="00723E93"/>
    <w:rsid w:val="00724C0A"/>
    <w:rsid w:val="007264C5"/>
    <w:rsid w:val="00726BD8"/>
    <w:rsid w:val="007368CD"/>
    <w:rsid w:val="00740297"/>
    <w:rsid w:val="00741C9F"/>
    <w:rsid w:val="00751A61"/>
    <w:rsid w:val="00753A96"/>
    <w:rsid w:val="0076105E"/>
    <w:rsid w:val="007615EB"/>
    <w:rsid w:val="007677F7"/>
    <w:rsid w:val="007718DC"/>
    <w:rsid w:val="00771C0D"/>
    <w:rsid w:val="00772526"/>
    <w:rsid w:val="00773E11"/>
    <w:rsid w:val="007751A7"/>
    <w:rsid w:val="00775707"/>
    <w:rsid w:val="0077651D"/>
    <w:rsid w:val="0078296B"/>
    <w:rsid w:val="00783CD4"/>
    <w:rsid w:val="00792D30"/>
    <w:rsid w:val="00795625"/>
    <w:rsid w:val="00796D94"/>
    <w:rsid w:val="007B3768"/>
    <w:rsid w:val="007B4E45"/>
    <w:rsid w:val="007B669A"/>
    <w:rsid w:val="007B6CA5"/>
    <w:rsid w:val="007C2442"/>
    <w:rsid w:val="007C532D"/>
    <w:rsid w:val="007D7145"/>
    <w:rsid w:val="007E089F"/>
    <w:rsid w:val="007E3EA5"/>
    <w:rsid w:val="007F085C"/>
    <w:rsid w:val="007F179E"/>
    <w:rsid w:val="007F193A"/>
    <w:rsid w:val="007F66DC"/>
    <w:rsid w:val="007F71ED"/>
    <w:rsid w:val="00800A06"/>
    <w:rsid w:val="008023E1"/>
    <w:rsid w:val="0081098D"/>
    <w:rsid w:val="00811555"/>
    <w:rsid w:val="008165E6"/>
    <w:rsid w:val="008177D6"/>
    <w:rsid w:val="008275E1"/>
    <w:rsid w:val="008310B9"/>
    <w:rsid w:val="00837848"/>
    <w:rsid w:val="008501D1"/>
    <w:rsid w:val="00855F73"/>
    <w:rsid w:val="00856E14"/>
    <w:rsid w:val="00867AD3"/>
    <w:rsid w:val="008727CA"/>
    <w:rsid w:val="00874581"/>
    <w:rsid w:val="00875639"/>
    <w:rsid w:val="00875915"/>
    <w:rsid w:val="00876585"/>
    <w:rsid w:val="00876F8E"/>
    <w:rsid w:val="00884C26"/>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3169"/>
    <w:rsid w:val="008E594C"/>
    <w:rsid w:val="008E5DC1"/>
    <w:rsid w:val="008F1D9E"/>
    <w:rsid w:val="008F22C6"/>
    <w:rsid w:val="008F24DE"/>
    <w:rsid w:val="00900AB6"/>
    <w:rsid w:val="00903C60"/>
    <w:rsid w:val="00913F17"/>
    <w:rsid w:val="009140A0"/>
    <w:rsid w:val="0092153D"/>
    <w:rsid w:val="009215EE"/>
    <w:rsid w:val="00924523"/>
    <w:rsid w:val="00934239"/>
    <w:rsid w:val="00946781"/>
    <w:rsid w:val="009473D4"/>
    <w:rsid w:val="00947A2F"/>
    <w:rsid w:val="00951C77"/>
    <w:rsid w:val="00951EDF"/>
    <w:rsid w:val="009538E7"/>
    <w:rsid w:val="0095466A"/>
    <w:rsid w:val="00956256"/>
    <w:rsid w:val="00957E87"/>
    <w:rsid w:val="00966AF7"/>
    <w:rsid w:val="00971141"/>
    <w:rsid w:val="0097339A"/>
    <w:rsid w:val="0098264F"/>
    <w:rsid w:val="00983052"/>
    <w:rsid w:val="009848C2"/>
    <w:rsid w:val="00986DB0"/>
    <w:rsid w:val="00990817"/>
    <w:rsid w:val="00994011"/>
    <w:rsid w:val="009A47D0"/>
    <w:rsid w:val="009B1BFB"/>
    <w:rsid w:val="009B660D"/>
    <w:rsid w:val="009B6AC7"/>
    <w:rsid w:val="009C3023"/>
    <w:rsid w:val="009C312C"/>
    <w:rsid w:val="009C40D2"/>
    <w:rsid w:val="009C59A8"/>
    <w:rsid w:val="009C69E9"/>
    <w:rsid w:val="009D1524"/>
    <w:rsid w:val="009D7CBA"/>
    <w:rsid w:val="009E263F"/>
    <w:rsid w:val="009F24C6"/>
    <w:rsid w:val="009F40B0"/>
    <w:rsid w:val="009F594A"/>
    <w:rsid w:val="00A0211C"/>
    <w:rsid w:val="00A0478B"/>
    <w:rsid w:val="00A0481E"/>
    <w:rsid w:val="00A06707"/>
    <w:rsid w:val="00A07539"/>
    <w:rsid w:val="00A13609"/>
    <w:rsid w:val="00A1458A"/>
    <w:rsid w:val="00A147F9"/>
    <w:rsid w:val="00A222C8"/>
    <w:rsid w:val="00A22B0B"/>
    <w:rsid w:val="00A2597D"/>
    <w:rsid w:val="00A441B0"/>
    <w:rsid w:val="00A501A7"/>
    <w:rsid w:val="00A51967"/>
    <w:rsid w:val="00A577BC"/>
    <w:rsid w:val="00A600AE"/>
    <w:rsid w:val="00A61EF8"/>
    <w:rsid w:val="00A67DA6"/>
    <w:rsid w:val="00A70655"/>
    <w:rsid w:val="00A738BE"/>
    <w:rsid w:val="00A757C6"/>
    <w:rsid w:val="00A778A2"/>
    <w:rsid w:val="00A82D39"/>
    <w:rsid w:val="00A84EC1"/>
    <w:rsid w:val="00A919C6"/>
    <w:rsid w:val="00A9382B"/>
    <w:rsid w:val="00A94D81"/>
    <w:rsid w:val="00AA1ED3"/>
    <w:rsid w:val="00AB0D35"/>
    <w:rsid w:val="00AB2BDE"/>
    <w:rsid w:val="00AB3D17"/>
    <w:rsid w:val="00AC0038"/>
    <w:rsid w:val="00AC089B"/>
    <w:rsid w:val="00AC15BE"/>
    <w:rsid w:val="00AC4F4B"/>
    <w:rsid w:val="00AC6BBF"/>
    <w:rsid w:val="00AC7E85"/>
    <w:rsid w:val="00AD1FD1"/>
    <w:rsid w:val="00AD27F4"/>
    <w:rsid w:val="00AD359F"/>
    <w:rsid w:val="00AD3E92"/>
    <w:rsid w:val="00AE1A72"/>
    <w:rsid w:val="00AF45C5"/>
    <w:rsid w:val="00AF7416"/>
    <w:rsid w:val="00B0044E"/>
    <w:rsid w:val="00B10704"/>
    <w:rsid w:val="00B20EE2"/>
    <w:rsid w:val="00B22EDA"/>
    <w:rsid w:val="00B2433B"/>
    <w:rsid w:val="00B33625"/>
    <w:rsid w:val="00B44B7E"/>
    <w:rsid w:val="00B45AD5"/>
    <w:rsid w:val="00B523E9"/>
    <w:rsid w:val="00B57DDA"/>
    <w:rsid w:val="00B61C2B"/>
    <w:rsid w:val="00B669C5"/>
    <w:rsid w:val="00B705BE"/>
    <w:rsid w:val="00B85463"/>
    <w:rsid w:val="00B873A6"/>
    <w:rsid w:val="00B87F40"/>
    <w:rsid w:val="00B91204"/>
    <w:rsid w:val="00B917EE"/>
    <w:rsid w:val="00B94FCE"/>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E21F8"/>
    <w:rsid w:val="00BE4AD4"/>
    <w:rsid w:val="00BE64FA"/>
    <w:rsid w:val="00BF0179"/>
    <w:rsid w:val="00BF1792"/>
    <w:rsid w:val="00C00EBB"/>
    <w:rsid w:val="00C034F1"/>
    <w:rsid w:val="00C03FBA"/>
    <w:rsid w:val="00C07D21"/>
    <w:rsid w:val="00C11D6A"/>
    <w:rsid w:val="00C137C4"/>
    <w:rsid w:val="00C17708"/>
    <w:rsid w:val="00C22334"/>
    <w:rsid w:val="00C2233B"/>
    <w:rsid w:val="00C26226"/>
    <w:rsid w:val="00C26C07"/>
    <w:rsid w:val="00C3297F"/>
    <w:rsid w:val="00C35C9A"/>
    <w:rsid w:val="00C3656C"/>
    <w:rsid w:val="00C36E73"/>
    <w:rsid w:val="00C37049"/>
    <w:rsid w:val="00C40B2D"/>
    <w:rsid w:val="00C43AB1"/>
    <w:rsid w:val="00C45C27"/>
    <w:rsid w:val="00C52192"/>
    <w:rsid w:val="00C5239A"/>
    <w:rsid w:val="00C5619A"/>
    <w:rsid w:val="00C6020D"/>
    <w:rsid w:val="00C60DB6"/>
    <w:rsid w:val="00C673C8"/>
    <w:rsid w:val="00C67D90"/>
    <w:rsid w:val="00C76EC5"/>
    <w:rsid w:val="00C7731D"/>
    <w:rsid w:val="00C82B4C"/>
    <w:rsid w:val="00C83DF6"/>
    <w:rsid w:val="00C859FB"/>
    <w:rsid w:val="00C90EFC"/>
    <w:rsid w:val="00C92E8E"/>
    <w:rsid w:val="00CA064B"/>
    <w:rsid w:val="00CA36BC"/>
    <w:rsid w:val="00CA4AF7"/>
    <w:rsid w:val="00CB0DE8"/>
    <w:rsid w:val="00CB7CEE"/>
    <w:rsid w:val="00CB7E8D"/>
    <w:rsid w:val="00CC1139"/>
    <w:rsid w:val="00CC2998"/>
    <w:rsid w:val="00CD1710"/>
    <w:rsid w:val="00CD281E"/>
    <w:rsid w:val="00CD798D"/>
    <w:rsid w:val="00CE1025"/>
    <w:rsid w:val="00CE3122"/>
    <w:rsid w:val="00CF1A23"/>
    <w:rsid w:val="00D17B17"/>
    <w:rsid w:val="00D30696"/>
    <w:rsid w:val="00D416E9"/>
    <w:rsid w:val="00D43CA0"/>
    <w:rsid w:val="00D453B1"/>
    <w:rsid w:val="00D53CE5"/>
    <w:rsid w:val="00D54FED"/>
    <w:rsid w:val="00D62BFB"/>
    <w:rsid w:val="00D6721D"/>
    <w:rsid w:val="00D67BFE"/>
    <w:rsid w:val="00D72765"/>
    <w:rsid w:val="00D97561"/>
    <w:rsid w:val="00D97AB6"/>
    <w:rsid w:val="00DA259B"/>
    <w:rsid w:val="00DA5FC3"/>
    <w:rsid w:val="00DA674E"/>
    <w:rsid w:val="00DA799F"/>
    <w:rsid w:val="00DB3460"/>
    <w:rsid w:val="00DB466C"/>
    <w:rsid w:val="00DB71A3"/>
    <w:rsid w:val="00DC038F"/>
    <w:rsid w:val="00DC13A0"/>
    <w:rsid w:val="00DC1D5C"/>
    <w:rsid w:val="00DC7B5D"/>
    <w:rsid w:val="00DD54A8"/>
    <w:rsid w:val="00DE45D7"/>
    <w:rsid w:val="00DE6BF9"/>
    <w:rsid w:val="00DE6F3F"/>
    <w:rsid w:val="00DE7FD5"/>
    <w:rsid w:val="00DF124E"/>
    <w:rsid w:val="00DF6653"/>
    <w:rsid w:val="00DF74E5"/>
    <w:rsid w:val="00E1043D"/>
    <w:rsid w:val="00E105EC"/>
    <w:rsid w:val="00E10759"/>
    <w:rsid w:val="00E3067E"/>
    <w:rsid w:val="00E32D36"/>
    <w:rsid w:val="00E351C7"/>
    <w:rsid w:val="00E36A30"/>
    <w:rsid w:val="00E413A9"/>
    <w:rsid w:val="00E420ED"/>
    <w:rsid w:val="00E4460E"/>
    <w:rsid w:val="00E45165"/>
    <w:rsid w:val="00E57852"/>
    <w:rsid w:val="00E60C98"/>
    <w:rsid w:val="00E635CE"/>
    <w:rsid w:val="00E661E7"/>
    <w:rsid w:val="00E71F0A"/>
    <w:rsid w:val="00E72801"/>
    <w:rsid w:val="00E756D4"/>
    <w:rsid w:val="00E772EC"/>
    <w:rsid w:val="00E81E50"/>
    <w:rsid w:val="00E82E8E"/>
    <w:rsid w:val="00E845C2"/>
    <w:rsid w:val="00E94A79"/>
    <w:rsid w:val="00E95ACF"/>
    <w:rsid w:val="00E96254"/>
    <w:rsid w:val="00EB066D"/>
    <w:rsid w:val="00EB08A7"/>
    <w:rsid w:val="00EB2335"/>
    <w:rsid w:val="00EB4F4B"/>
    <w:rsid w:val="00EC0944"/>
    <w:rsid w:val="00ED0E21"/>
    <w:rsid w:val="00ED37A4"/>
    <w:rsid w:val="00ED3B04"/>
    <w:rsid w:val="00ED3E20"/>
    <w:rsid w:val="00EE5591"/>
    <w:rsid w:val="00EE5D4F"/>
    <w:rsid w:val="00EF2EC1"/>
    <w:rsid w:val="00EF4122"/>
    <w:rsid w:val="00F020C2"/>
    <w:rsid w:val="00F03D74"/>
    <w:rsid w:val="00F06A80"/>
    <w:rsid w:val="00F10AA4"/>
    <w:rsid w:val="00F13D27"/>
    <w:rsid w:val="00F1430E"/>
    <w:rsid w:val="00F16034"/>
    <w:rsid w:val="00F25567"/>
    <w:rsid w:val="00F32416"/>
    <w:rsid w:val="00F34C85"/>
    <w:rsid w:val="00F35E78"/>
    <w:rsid w:val="00F37998"/>
    <w:rsid w:val="00F37B3B"/>
    <w:rsid w:val="00F42857"/>
    <w:rsid w:val="00F45E01"/>
    <w:rsid w:val="00F47FAC"/>
    <w:rsid w:val="00F520E5"/>
    <w:rsid w:val="00F52AB4"/>
    <w:rsid w:val="00F5366F"/>
    <w:rsid w:val="00F54F28"/>
    <w:rsid w:val="00F6602E"/>
    <w:rsid w:val="00F70650"/>
    <w:rsid w:val="00F723DF"/>
    <w:rsid w:val="00F72F83"/>
    <w:rsid w:val="00F73AB1"/>
    <w:rsid w:val="00F7409F"/>
    <w:rsid w:val="00F75081"/>
    <w:rsid w:val="00F76B0A"/>
    <w:rsid w:val="00F813C4"/>
    <w:rsid w:val="00F844B5"/>
    <w:rsid w:val="00F866D8"/>
    <w:rsid w:val="00F904BE"/>
    <w:rsid w:val="00F96FCC"/>
    <w:rsid w:val="00FA07CE"/>
    <w:rsid w:val="00FA0A52"/>
    <w:rsid w:val="00FA2A1C"/>
    <w:rsid w:val="00FA7FAA"/>
    <w:rsid w:val="00FB4489"/>
    <w:rsid w:val="00FB45AC"/>
    <w:rsid w:val="00FC47E3"/>
    <w:rsid w:val="00FD1042"/>
    <w:rsid w:val="00FD221B"/>
    <w:rsid w:val="00FD2460"/>
    <w:rsid w:val="00FD5163"/>
    <w:rsid w:val="00FE336E"/>
    <w:rsid w:val="00FE7ED7"/>
    <w:rsid w:val="00FF3EE4"/>
    <w:rsid w:val="00FF407F"/>
    <w:rsid w:val="00FF5155"/>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7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979B-794A-4472-B60E-20E8933C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6</cp:revision>
  <cp:lastPrinted>2016-10-04T20:09:00Z</cp:lastPrinted>
  <dcterms:created xsi:type="dcterms:W3CDTF">2017-03-13T20:00:00Z</dcterms:created>
  <dcterms:modified xsi:type="dcterms:W3CDTF">2017-03-13T20:06:00Z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