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A598F" w14:textId="0D3A21C8" w:rsidR="00875639" w:rsidRDefault="000E41FE" w:rsidP="00AB675A">
      <w:pPr>
        <w:spacing w:after="0" w:line="240" w:lineRule="auto"/>
        <w:jc w:val="both"/>
      </w:pPr>
      <w:r>
        <w:t xml:space="preserve">February </w:t>
      </w:r>
      <w:r w:rsidR="00120D9C">
        <w:t>6</w:t>
      </w:r>
      <w:bookmarkStart w:id="0" w:name="_GoBack"/>
      <w:bookmarkEnd w:id="0"/>
      <w:r>
        <w:t>, 2018</w:t>
      </w:r>
    </w:p>
    <w:p w14:paraId="0B4AB6B8" w14:textId="77777777" w:rsidR="00EB4F4B" w:rsidRPr="00934239" w:rsidRDefault="00EB4F4B" w:rsidP="00AB675A">
      <w:pPr>
        <w:spacing w:after="0" w:line="240" w:lineRule="auto"/>
        <w:jc w:val="both"/>
      </w:pPr>
    </w:p>
    <w:p w14:paraId="4C50564F" w14:textId="77777777" w:rsidR="000C1399" w:rsidRDefault="00316CB2" w:rsidP="00AB675A">
      <w:pPr>
        <w:spacing w:after="0" w:line="240" w:lineRule="auto"/>
        <w:jc w:val="both"/>
      </w:pPr>
      <w:r>
        <w:t>Technical Director</w:t>
      </w:r>
    </w:p>
    <w:p w14:paraId="410BE7A5" w14:textId="77777777" w:rsidR="000C1399" w:rsidRDefault="00316CB2" w:rsidP="00AB675A">
      <w:pPr>
        <w:spacing w:after="0" w:line="240" w:lineRule="auto"/>
        <w:jc w:val="both"/>
      </w:pPr>
      <w:r>
        <w:t>Financial Accounting Standards Board</w:t>
      </w:r>
    </w:p>
    <w:p w14:paraId="00C281B5" w14:textId="77777777" w:rsidR="00316CB2" w:rsidRDefault="00316CB2" w:rsidP="00AB675A">
      <w:pPr>
        <w:spacing w:after="0" w:line="240" w:lineRule="auto"/>
        <w:jc w:val="both"/>
      </w:pPr>
      <w:r>
        <w:t>401 Merritt 7, P.O. Box 5116</w:t>
      </w:r>
    </w:p>
    <w:p w14:paraId="40F6AB49" w14:textId="77777777" w:rsidR="00316CB2" w:rsidRDefault="00316CB2" w:rsidP="00AB675A">
      <w:pPr>
        <w:spacing w:after="0" w:line="240" w:lineRule="auto"/>
        <w:jc w:val="both"/>
      </w:pPr>
      <w:r>
        <w:t>Norwalk, CT 06856-5116</w:t>
      </w:r>
    </w:p>
    <w:p w14:paraId="5215E1A4" w14:textId="77777777" w:rsidR="00316CB2" w:rsidRDefault="00316CB2" w:rsidP="00AB675A">
      <w:pPr>
        <w:spacing w:after="0" w:line="240" w:lineRule="auto"/>
        <w:jc w:val="both"/>
      </w:pPr>
    </w:p>
    <w:p w14:paraId="2C7E38E1" w14:textId="0C66A5C7" w:rsidR="00316CB2" w:rsidRDefault="000E41FE" w:rsidP="00AB675A">
      <w:pPr>
        <w:spacing w:after="0" w:line="240" w:lineRule="auto"/>
        <w:jc w:val="both"/>
      </w:pPr>
      <w:r>
        <w:t>File Reference No. 2018-200</w:t>
      </w:r>
    </w:p>
    <w:p w14:paraId="0158E396" w14:textId="77777777" w:rsidR="008F1D9E" w:rsidRDefault="008F1D9E" w:rsidP="00AB675A">
      <w:pPr>
        <w:spacing w:after="0" w:line="240" w:lineRule="auto"/>
        <w:jc w:val="both"/>
      </w:pPr>
    </w:p>
    <w:p w14:paraId="4A1FAEC9" w14:textId="7B762381" w:rsidR="00671140" w:rsidRPr="00671140" w:rsidRDefault="00316CB2" w:rsidP="00AB675A">
      <w:pPr>
        <w:spacing w:after="0" w:line="240" w:lineRule="auto"/>
        <w:jc w:val="both"/>
        <w:rPr>
          <w:rFonts w:cstheme="minorBidi"/>
        </w:rPr>
      </w:pPr>
      <w:r w:rsidRPr="00AD259B">
        <w:rPr>
          <w:rFonts w:cstheme="minorBidi"/>
        </w:rPr>
        <w:t>The Accounting Principles Committee of the Illinois CPA Society (“Committee”) appreciate</w:t>
      </w:r>
      <w:r w:rsidR="00631F9E">
        <w:rPr>
          <w:rFonts w:cstheme="minorBidi"/>
        </w:rPr>
        <w:t>s</w:t>
      </w:r>
      <w:r w:rsidRPr="00AD259B">
        <w:rPr>
          <w:rFonts w:cstheme="minorBidi"/>
        </w:rPr>
        <w:t xml:space="preserve"> the opportunity to provide </w:t>
      </w:r>
      <w:r w:rsidR="002A2A66">
        <w:rPr>
          <w:rFonts w:cstheme="minorBidi"/>
        </w:rPr>
        <w:t>its</w:t>
      </w:r>
      <w:r w:rsidRPr="00AD259B">
        <w:rPr>
          <w:rFonts w:cstheme="minorBidi"/>
        </w:rPr>
        <w:t xml:space="preserve"> perspective on the </w:t>
      </w:r>
      <w:r w:rsidR="008F1D9E">
        <w:rPr>
          <w:rFonts w:cstheme="minorBidi"/>
        </w:rPr>
        <w:t>Proposed Accounting Standards Update (“ASU”)</w:t>
      </w:r>
      <w:r w:rsidRPr="00AD259B">
        <w:rPr>
          <w:rFonts w:cstheme="minorBidi"/>
        </w:rPr>
        <w:t xml:space="preserve">, </w:t>
      </w:r>
      <w:r w:rsidR="000E41FE">
        <w:rPr>
          <w:rFonts w:cstheme="minorBidi"/>
          <w:i/>
        </w:rPr>
        <w:t>Leases</w:t>
      </w:r>
      <w:r w:rsidR="007F305D">
        <w:rPr>
          <w:rFonts w:cstheme="minorBidi"/>
          <w:i/>
        </w:rPr>
        <w:t xml:space="preserve"> </w:t>
      </w:r>
      <w:r w:rsidR="000E41FE">
        <w:rPr>
          <w:rFonts w:cstheme="minorBidi"/>
          <w:i/>
        </w:rPr>
        <w:t>(Topic 84</w:t>
      </w:r>
      <w:r w:rsidR="003D44A5">
        <w:rPr>
          <w:rFonts w:cstheme="minorBidi"/>
          <w:i/>
        </w:rPr>
        <w:t>2</w:t>
      </w:r>
      <w:r w:rsidR="001864B1">
        <w:rPr>
          <w:rFonts w:cstheme="minorBidi"/>
          <w:i/>
        </w:rPr>
        <w:t>)</w:t>
      </w:r>
      <w:r w:rsidR="000E41FE">
        <w:rPr>
          <w:rFonts w:cstheme="minorBidi"/>
          <w:i/>
        </w:rPr>
        <w:t>: Targeted Improvements</w:t>
      </w:r>
      <w:r w:rsidRPr="00AD259B">
        <w:rPr>
          <w:rFonts w:cstheme="minorBidi"/>
        </w:rPr>
        <w:t xml:space="preserve">. </w:t>
      </w:r>
      <w:r w:rsidR="00671140" w:rsidRPr="00671140">
        <w:rPr>
          <w:rFonts w:cstheme="minorBidi"/>
        </w:rPr>
        <w:t>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3C811ED3" w14:textId="77777777" w:rsidR="00316CB2" w:rsidRDefault="00316CB2" w:rsidP="00AB675A">
      <w:pPr>
        <w:pStyle w:val="NoSpacing"/>
        <w:jc w:val="both"/>
      </w:pPr>
    </w:p>
    <w:p w14:paraId="408866BC" w14:textId="39ED6840" w:rsidR="00316CB2" w:rsidRDefault="00631F9E" w:rsidP="00AB675A">
      <w:pPr>
        <w:pStyle w:val="NoSpacing"/>
        <w:jc w:val="both"/>
      </w:pPr>
      <w:r>
        <w:t>In gener</w:t>
      </w:r>
      <w:r w:rsidR="00CA064B">
        <w:t xml:space="preserve">al, </w:t>
      </w:r>
      <w:r w:rsidR="000D1FB3">
        <w:t>the Committee is</w:t>
      </w:r>
      <w:r w:rsidR="00425ACC">
        <w:t xml:space="preserve"> supportive of</w:t>
      </w:r>
      <w:r w:rsidR="00CA064B">
        <w:t xml:space="preserve"> the </w:t>
      </w:r>
      <w:r w:rsidR="00425ACC">
        <w:t xml:space="preserve">Board’s </w:t>
      </w:r>
      <w:r w:rsidR="00CA064B">
        <w:t>proposed changes</w:t>
      </w:r>
      <w:r w:rsidR="000E41FE">
        <w:t>.</w:t>
      </w:r>
    </w:p>
    <w:p w14:paraId="4BDA0B38" w14:textId="77777777" w:rsidR="008F24DE" w:rsidRDefault="008F24DE" w:rsidP="00AB675A">
      <w:pPr>
        <w:pStyle w:val="NoSpacing"/>
        <w:jc w:val="both"/>
      </w:pPr>
    </w:p>
    <w:p w14:paraId="06ED43C8" w14:textId="52E38226" w:rsidR="008F24DE" w:rsidRDefault="008F24DE" w:rsidP="00AB675A">
      <w:pPr>
        <w:pStyle w:val="NoSpacing"/>
        <w:jc w:val="both"/>
      </w:pPr>
      <w:r>
        <w:t xml:space="preserve">We have provided our responses to </w:t>
      </w:r>
      <w:r w:rsidR="003B06E2">
        <w:t>specific</w:t>
      </w:r>
      <w:r>
        <w:t xml:space="preserve"> questions raised in the proposed ASU below.</w:t>
      </w:r>
    </w:p>
    <w:p w14:paraId="1494B75D" w14:textId="77777777" w:rsidR="00B20EE2" w:rsidRDefault="00B20EE2" w:rsidP="00AB675A">
      <w:pPr>
        <w:pStyle w:val="NoSpacing"/>
        <w:jc w:val="both"/>
      </w:pPr>
    </w:p>
    <w:p w14:paraId="33872630" w14:textId="73F0AF87" w:rsidR="003D44A5" w:rsidRDefault="003D44A5" w:rsidP="00AB675A">
      <w:pPr>
        <w:jc w:val="both"/>
      </w:pPr>
      <w:r w:rsidRPr="003D44A5">
        <w:rPr>
          <w:b/>
        </w:rPr>
        <w:t>Question 1:</w:t>
      </w:r>
      <w:r>
        <w:t xml:space="preserve"> </w:t>
      </w:r>
      <w:r w:rsidRPr="00AB675A">
        <w:rPr>
          <w:i/>
        </w:rPr>
        <w:t xml:space="preserve">Would </w:t>
      </w:r>
      <w:r w:rsidR="000E41FE">
        <w:rPr>
          <w:i/>
        </w:rPr>
        <w:t>the proposed optional transition method to apply the new lease requirements through a cumulative-effect adjustment in the period of adoption reduce the costs and complexity associated with implementing Topic 842? If not, please explain why.</w:t>
      </w:r>
    </w:p>
    <w:p w14:paraId="6426E980" w14:textId="566D41E9" w:rsidR="00EF293E" w:rsidRDefault="00AD1FD1" w:rsidP="00AB675A">
      <w:pPr>
        <w:jc w:val="both"/>
        <w:rPr>
          <w:b/>
        </w:rPr>
      </w:pPr>
      <w:r>
        <w:rPr>
          <w:b/>
        </w:rPr>
        <w:t>Response:</w:t>
      </w:r>
      <w:r w:rsidRPr="006C1B4A">
        <w:t xml:space="preserve"> </w:t>
      </w:r>
      <w:r w:rsidR="006C1B4A" w:rsidRPr="006C1B4A">
        <w:t>We believe the proposed optional transition method will reduce the costs and complexity associated with implementing Topic 842.</w:t>
      </w:r>
    </w:p>
    <w:p w14:paraId="050CAFEC" w14:textId="18FE0893" w:rsidR="000D1FB3" w:rsidRDefault="000D1FB3" w:rsidP="00AB675A">
      <w:pPr>
        <w:jc w:val="both"/>
      </w:pPr>
      <w:r w:rsidRPr="000D1FB3">
        <w:rPr>
          <w:b/>
        </w:rPr>
        <w:t>Question 2:</w:t>
      </w:r>
      <w:r>
        <w:t xml:space="preserve"> </w:t>
      </w:r>
      <w:r w:rsidRPr="00AB675A">
        <w:rPr>
          <w:i/>
        </w:rPr>
        <w:t xml:space="preserve">Is </w:t>
      </w:r>
      <w:r w:rsidR="000E41FE">
        <w:rPr>
          <w:i/>
        </w:rPr>
        <w:t>the proposed transition method, as written in this proposed Update, operable? If not, please explain why.</w:t>
      </w:r>
    </w:p>
    <w:p w14:paraId="3B1C6676" w14:textId="38866588" w:rsidR="00B96790" w:rsidRDefault="00B96790" w:rsidP="00AB675A">
      <w:pPr>
        <w:jc w:val="both"/>
      </w:pPr>
      <w:r>
        <w:rPr>
          <w:b/>
        </w:rPr>
        <w:t>Response</w:t>
      </w:r>
      <w:r>
        <w:t xml:space="preserve">: </w:t>
      </w:r>
      <w:r w:rsidR="006C1B4A">
        <w:t>We believe the proposed transition method, as written, is operable.</w:t>
      </w:r>
    </w:p>
    <w:p w14:paraId="4752E63E" w14:textId="247D932C" w:rsidR="000355CC" w:rsidRDefault="000355CC" w:rsidP="00AB675A">
      <w:pPr>
        <w:jc w:val="both"/>
      </w:pPr>
      <w:r w:rsidRPr="000355CC">
        <w:rPr>
          <w:b/>
        </w:rPr>
        <w:t>Question 3:</w:t>
      </w:r>
      <w:r>
        <w:t xml:space="preserve"> </w:t>
      </w:r>
      <w:r w:rsidR="000E41FE">
        <w:rPr>
          <w:i/>
        </w:rPr>
        <w:t xml:space="preserve">Would the practical expedient in this proposed Update for lessors to not separate </w:t>
      </w:r>
      <w:r w:rsidR="00DE5476">
        <w:rPr>
          <w:i/>
        </w:rPr>
        <w:t>non-lease</w:t>
      </w:r>
      <w:r w:rsidR="000E41FE">
        <w:rPr>
          <w:i/>
        </w:rPr>
        <w:t xml:space="preserve"> components from the related lease components and, instead, to account for those components as a single lease component reduce the costs and complexity associated with applying Topic 842 by lessors? If not, please explain why.</w:t>
      </w:r>
    </w:p>
    <w:p w14:paraId="502B4325" w14:textId="6BD1CE2D" w:rsidR="00B96790" w:rsidRDefault="00B96790" w:rsidP="00AB675A">
      <w:pPr>
        <w:jc w:val="both"/>
      </w:pPr>
      <w:r>
        <w:rPr>
          <w:b/>
        </w:rPr>
        <w:t>Response</w:t>
      </w:r>
      <w:r>
        <w:t xml:space="preserve">: </w:t>
      </w:r>
      <w:r w:rsidR="00C24F5E">
        <w:t>Notwithstanding the issues noted below</w:t>
      </w:r>
      <w:r w:rsidR="002D1AA9">
        <w:t xml:space="preserve"> in our response to Question 4</w:t>
      </w:r>
      <w:r w:rsidR="00C24F5E">
        <w:t>, w</w:t>
      </w:r>
      <w:r w:rsidR="006C1B4A">
        <w:t>e believe the proposed practical expedient will reduce the costs and complexity associated with applying Topic 842 by lessors.</w:t>
      </w:r>
    </w:p>
    <w:p w14:paraId="779845E6" w14:textId="3FA27F07" w:rsidR="00C161F9" w:rsidRDefault="00B96790" w:rsidP="00AB675A">
      <w:pPr>
        <w:jc w:val="both"/>
      </w:pPr>
      <w:r w:rsidRPr="00B96790">
        <w:rPr>
          <w:b/>
        </w:rPr>
        <w:t xml:space="preserve">Question 4: </w:t>
      </w:r>
      <w:r w:rsidR="000E41FE">
        <w:rPr>
          <w:i/>
        </w:rPr>
        <w:t>Is the proposed practical expedient, as written in this proposed Update, operable? If not, please explain why.</w:t>
      </w:r>
    </w:p>
    <w:p w14:paraId="57ADF954" w14:textId="73C4949A" w:rsidR="006C1B4A" w:rsidRDefault="00AD1FD1" w:rsidP="00AB675A">
      <w:pPr>
        <w:jc w:val="both"/>
      </w:pPr>
      <w:r>
        <w:rPr>
          <w:b/>
        </w:rPr>
        <w:t>Response</w:t>
      </w:r>
      <w:r>
        <w:t>:</w:t>
      </w:r>
      <w:r w:rsidR="000F7F99">
        <w:t xml:space="preserve"> </w:t>
      </w:r>
      <w:r w:rsidR="006C1B4A">
        <w:t xml:space="preserve">We believe </w:t>
      </w:r>
      <w:r w:rsidR="000F4E99">
        <w:t xml:space="preserve">that </w:t>
      </w:r>
      <w:r w:rsidR="006C1B4A">
        <w:t>additional guidance is needed to explain how entities should assess whether the timing and pattern of revenue recognition for the lease component and non</w:t>
      </w:r>
      <w:r w:rsidR="00031802">
        <w:t>-</w:t>
      </w:r>
      <w:r w:rsidR="006C1B4A">
        <w:t>lease components associated with the lease component are the same</w:t>
      </w:r>
      <w:r w:rsidR="00B909E9">
        <w:t xml:space="preserve"> to ensure consistent application of the practical expedient</w:t>
      </w:r>
      <w:r w:rsidR="006C1B4A">
        <w:t>.</w:t>
      </w:r>
    </w:p>
    <w:p w14:paraId="752E1268" w14:textId="4F7FF1CB" w:rsidR="00CC451A" w:rsidRDefault="000F4E99" w:rsidP="00AB675A">
      <w:pPr>
        <w:jc w:val="both"/>
      </w:pPr>
      <w:r>
        <w:lastRenderedPageBreak/>
        <w:t>W</w:t>
      </w:r>
      <w:r w:rsidR="002D1AA9">
        <w:t>e suggest that the Board add illustrative examples to the proposed guidance to help lessors apply the practical expedient.</w:t>
      </w:r>
    </w:p>
    <w:p w14:paraId="70ADA7E6" w14:textId="5812613D" w:rsidR="00B612E5" w:rsidRDefault="002D1AA9" w:rsidP="00AB675A">
      <w:pPr>
        <w:jc w:val="both"/>
      </w:pPr>
      <w:r>
        <w:t>In particular,</w:t>
      </w:r>
      <w:r w:rsidR="00DE5476">
        <w:t xml:space="preserve"> </w:t>
      </w:r>
      <w:r>
        <w:t>w</w:t>
      </w:r>
      <w:r w:rsidR="00DE33AD">
        <w:t>e have concerns regarding application of the practical expedient to lease transactions that include variable payments</w:t>
      </w:r>
      <w:r w:rsidR="009C0252">
        <w:t xml:space="preserve">, where the </w:t>
      </w:r>
      <w:r w:rsidR="00527D66">
        <w:t>variable payments are included in the consideration in the contract</w:t>
      </w:r>
      <w:r w:rsidR="009C0252">
        <w:t xml:space="preserve"> based on the guidance in ASC 842-10-15-39</w:t>
      </w:r>
      <w:r w:rsidR="00DE33AD">
        <w:t xml:space="preserve">. </w:t>
      </w:r>
      <w:r w:rsidR="005B0949">
        <w:t>Pursuant to ASC 842-30-25-11, l</w:t>
      </w:r>
      <w:r w:rsidR="00DE33AD">
        <w:t>essors</w:t>
      </w:r>
      <w:r w:rsidR="005B0949">
        <w:t xml:space="preserve"> account for variable lease payments “as income in the period in which the changes in facts and circumstances on which the variable lease payments are based occur.” </w:t>
      </w:r>
      <w:r w:rsidR="00990CFB">
        <w:t>V</w:t>
      </w:r>
      <w:r w:rsidR="005B0949">
        <w:t>ariable consideration</w:t>
      </w:r>
      <w:r w:rsidR="00990CFB">
        <w:t xml:space="preserve"> associated with the </w:t>
      </w:r>
      <w:r w:rsidR="00DE5476">
        <w:t>non-lease</w:t>
      </w:r>
      <w:r w:rsidR="00990CFB">
        <w:t xml:space="preserve"> component</w:t>
      </w:r>
      <w:r w:rsidR="005B0949">
        <w:t xml:space="preserve"> would be accounted for under ASC 606-10-30-5 through 30-14. This guidance requires an entity to “estimate the amount of </w:t>
      </w:r>
      <w:r w:rsidR="00314828">
        <w:t xml:space="preserve">variable </w:t>
      </w:r>
      <w:r w:rsidR="005B0949">
        <w:t>consideration to which the entity will be entitled in exchange for transferring the promised goods or services,” subject to certain constraints.</w:t>
      </w:r>
      <w:r w:rsidR="00790B4A">
        <w:t xml:space="preserve"> We are concerned about situation</w:t>
      </w:r>
      <w:r w:rsidR="00C52BBA">
        <w:t>s</w:t>
      </w:r>
      <w:r w:rsidR="00790B4A">
        <w:t xml:space="preserve"> in which </w:t>
      </w:r>
      <w:r w:rsidR="00C52BBA">
        <w:t xml:space="preserve">there may be a mismatch in the timing and pattern of </w:t>
      </w:r>
      <w:r>
        <w:t xml:space="preserve">revenue </w:t>
      </w:r>
      <w:r w:rsidR="00C52BBA">
        <w:t xml:space="preserve">recognition </w:t>
      </w:r>
      <w:r>
        <w:t>for</w:t>
      </w:r>
      <w:r w:rsidR="00C52BBA">
        <w:t xml:space="preserve"> the </w:t>
      </w:r>
      <w:r w:rsidR="00790B4A">
        <w:t>variable consideration</w:t>
      </w:r>
      <w:r w:rsidR="00C52BBA">
        <w:t xml:space="preserve">. For example, this might occur if the variable consideration relates to </w:t>
      </w:r>
      <w:r w:rsidR="00790B4A">
        <w:t xml:space="preserve">both the lease and </w:t>
      </w:r>
      <w:r w:rsidR="00DE5476">
        <w:t>non-lease</w:t>
      </w:r>
      <w:r w:rsidR="00790B4A">
        <w:t xml:space="preserve"> components</w:t>
      </w:r>
      <w:r w:rsidR="00F56FB3">
        <w:t>, as in the case of certain inflation-linked lease arrangements</w:t>
      </w:r>
      <w:r w:rsidR="00790B4A">
        <w:t xml:space="preserve">. </w:t>
      </w:r>
      <w:r>
        <w:t>A</w:t>
      </w:r>
      <w:r w:rsidR="00314828">
        <w:t xml:space="preserve">ssuming both lease and </w:t>
      </w:r>
      <w:r w:rsidR="00DE5476">
        <w:t>non-lease</w:t>
      </w:r>
      <w:r w:rsidR="00314828">
        <w:t xml:space="preserve"> components have variable consideration, w</w:t>
      </w:r>
      <w:r w:rsidR="00790B4A">
        <w:t xml:space="preserve">ould the </w:t>
      </w:r>
      <w:r w:rsidR="00314828">
        <w:t xml:space="preserve">practical </w:t>
      </w:r>
      <w:r w:rsidR="00790B4A">
        <w:t>expedient apply if the lease portion of the variable consideration was accounted for upon resolution</w:t>
      </w:r>
      <w:r w:rsidR="006B75C6">
        <w:t xml:space="preserve"> of the contingency</w:t>
      </w:r>
      <w:r w:rsidR="000F4E99">
        <w:t xml:space="preserve"> pursuant to 842-30-25-11</w:t>
      </w:r>
      <w:r w:rsidR="00DE5476">
        <w:t xml:space="preserve">, </w:t>
      </w:r>
      <w:r w:rsidR="00790B4A">
        <w:t xml:space="preserve">but the </w:t>
      </w:r>
      <w:r w:rsidR="00DE5476">
        <w:t>non-lease</w:t>
      </w:r>
      <w:r w:rsidR="00790B4A">
        <w:t xml:space="preserve"> portion </w:t>
      </w:r>
      <w:r w:rsidR="003E19B3">
        <w:t xml:space="preserve">is </w:t>
      </w:r>
      <w:r w:rsidR="00790B4A">
        <w:t>estimated and recognized over the contract term?</w:t>
      </w:r>
      <w:r w:rsidR="006B75C6">
        <w:t xml:space="preserve"> </w:t>
      </w:r>
      <w:r w:rsidR="003E19B3">
        <w:t xml:space="preserve">Similarly, would the practical expedient not apply if the </w:t>
      </w:r>
      <w:r w:rsidR="00DE5476">
        <w:t>non-lease</w:t>
      </w:r>
      <w:r w:rsidR="003E19B3">
        <w:t xml:space="preserve"> component variable consideration was subject to the constraint in ASC 606</w:t>
      </w:r>
      <w:r w:rsidR="00FE1BFC">
        <w:t>-10-32-11 and 12</w:t>
      </w:r>
      <w:r w:rsidR="003E19B3">
        <w:t>?</w:t>
      </w:r>
    </w:p>
    <w:p w14:paraId="0320A425" w14:textId="013C968B" w:rsidR="00FF1F1D" w:rsidRDefault="007E0253" w:rsidP="00AB675A">
      <w:pPr>
        <w:jc w:val="both"/>
      </w:pPr>
      <w:r>
        <w:t xml:space="preserve">We also have concerns regarding </w:t>
      </w:r>
      <w:r w:rsidR="00B909E9">
        <w:t>the application of the practical expedient to arrangements</w:t>
      </w:r>
      <w:r>
        <w:t xml:space="preserve"> that include multiple </w:t>
      </w:r>
      <w:r w:rsidR="00DE5476">
        <w:t>non-lease</w:t>
      </w:r>
      <w:r>
        <w:t xml:space="preserve"> components</w:t>
      </w:r>
      <w:r w:rsidR="00B909E9">
        <w:t xml:space="preserve">.  As noted by the Board in the basis </w:t>
      </w:r>
      <w:r w:rsidR="002D1AA9">
        <w:t>for</w:t>
      </w:r>
      <w:r w:rsidR="00B909E9">
        <w:t xml:space="preserve"> conclusion</w:t>
      </w:r>
      <w:r w:rsidR="002D1AA9">
        <w:t>s</w:t>
      </w:r>
      <w:r w:rsidR="00B909E9">
        <w:t>, example</w:t>
      </w:r>
      <w:r w:rsidR="002D1AA9">
        <w:t>s</w:t>
      </w:r>
      <w:r w:rsidR="00B909E9">
        <w:t xml:space="preserve"> of </w:t>
      </w:r>
      <w:r w:rsidR="00DE5476">
        <w:t>non-lease</w:t>
      </w:r>
      <w:r w:rsidR="00B909E9">
        <w:t xml:space="preserve"> component</w:t>
      </w:r>
      <w:r w:rsidR="00B87A76">
        <w:t>s</w:t>
      </w:r>
      <w:r w:rsidR="00B909E9">
        <w:t xml:space="preserve"> include </w:t>
      </w:r>
      <w:r w:rsidR="00A23218" w:rsidRPr="00DE5476">
        <w:t>“</w:t>
      </w:r>
      <w:r w:rsidR="00B909E9" w:rsidRPr="00DE5476">
        <w:t>common area maintenance services in real estate or other activities that transfer a good or service to the lessee separate from the right to use the underlying asset</w:t>
      </w:r>
      <w:r w:rsidR="00A23218" w:rsidRPr="00DE5476">
        <w:t>”</w:t>
      </w:r>
      <w:r w:rsidR="00B909E9">
        <w:t xml:space="preserve"> (paragraph BC13).  Proposed ASC 842-10-15-</w:t>
      </w:r>
      <w:r w:rsidR="00A23218">
        <w:t>42A</w:t>
      </w:r>
      <w:r w:rsidR="001855EC">
        <w:t>(a)</w:t>
      </w:r>
      <w:r w:rsidR="00B909E9">
        <w:t xml:space="preserve"> requires the timing and pattern of revenue recognition of the lease component and </w:t>
      </w:r>
      <w:r w:rsidR="00DE5476">
        <w:t>non-lease</w:t>
      </w:r>
      <w:r w:rsidR="00B909E9">
        <w:t xml:space="preserve"> </w:t>
      </w:r>
      <w:r w:rsidR="00A23218">
        <w:t>components</w:t>
      </w:r>
      <w:r w:rsidR="00B909E9">
        <w:t xml:space="preserve"> associated with that lease component </w:t>
      </w:r>
      <w:r w:rsidR="001855EC">
        <w:t>to be</w:t>
      </w:r>
      <w:r w:rsidR="00B909E9">
        <w:t xml:space="preserve"> the same.  It is unclear to us</w:t>
      </w:r>
      <w:r w:rsidR="00A23218">
        <w:t xml:space="preserve"> what is meant by </w:t>
      </w:r>
      <w:r w:rsidR="00A23218" w:rsidRPr="00B87A76">
        <w:t>“</w:t>
      </w:r>
      <w:r w:rsidR="00DE5476">
        <w:t>non-lease</w:t>
      </w:r>
      <w:r w:rsidR="00A23218" w:rsidRPr="00DE5476">
        <w:t xml:space="preserve"> components associated with that lease component</w:t>
      </w:r>
      <w:r w:rsidR="00A23218" w:rsidRPr="00B87A76">
        <w:t>”</w:t>
      </w:r>
      <w:r w:rsidR="00A23218">
        <w:t xml:space="preserve"> and if a reporting entity must consider only </w:t>
      </w:r>
      <w:r w:rsidR="00DE5476">
        <w:t>non-lease</w:t>
      </w:r>
      <w:r w:rsidR="00A23218">
        <w:t xml:space="preserve"> components </w:t>
      </w:r>
      <w:r w:rsidR="00A23218" w:rsidRPr="000F4E99">
        <w:rPr>
          <w:i/>
        </w:rPr>
        <w:t>directly</w:t>
      </w:r>
      <w:r w:rsidR="00A23218">
        <w:t xml:space="preserve"> associated with the lease component.  For instance, common area maintenance frequently is directly associated with the lease component in real estate arrangements for which determining standalone selling price is difficult.  This compares to ancillary services which may be</w:t>
      </w:r>
      <w:r w:rsidR="00077FF2">
        <w:t xml:space="preserve"> included in the customer arrangement to be purchased at the customer’s option at stated prices</w:t>
      </w:r>
      <w:r w:rsidR="008214BD">
        <w:t xml:space="preserve"> (e.g., housekeeping, laundry services, or personal services such as hair styling)</w:t>
      </w:r>
      <w:r w:rsidR="00077FF2">
        <w:t>.  These ancillary services are not directly associated with the lease component, are sold separately</w:t>
      </w:r>
      <w:r w:rsidR="00E32045">
        <w:t>,</w:t>
      </w:r>
      <w:r w:rsidR="00077FF2">
        <w:t xml:space="preserve"> and their pattern of recognition would not be the same as the lease component. </w:t>
      </w:r>
      <w:r w:rsidR="00A23218">
        <w:t xml:space="preserve"> </w:t>
      </w:r>
      <w:r w:rsidR="00A82D01">
        <w:t xml:space="preserve">If a reporting entity is required to consider all </w:t>
      </w:r>
      <w:r w:rsidR="00DE5476">
        <w:t>non-lease</w:t>
      </w:r>
      <w:r w:rsidR="00A82D01">
        <w:t xml:space="preserve"> components associated with the lease component as noted in the basis </w:t>
      </w:r>
      <w:r w:rsidR="001855EC">
        <w:t>for</w:t>
      </w:r>
      <w:r w:rsidR="00A82D01">
        <w:t xml:space="preserve"> conclusion</w:t>
      </w:r>
      <w:r w:rsidR="001855EC">
        <w:t>s</w:t>
      </w:r>
      <w:r w:rsidR="00A82D01">
        <w:t xml:space="preserve"> </w:t>
      </w:r>
      <w:r w:rsidR="001855EC">
        <w:t>(“</w:t>
      </w:r>
      <w:r w:rsidR="00A82D01">
        <w:t xml:space="preserve">other activities that transfer a good or service to the lessee separate from the right to use the underlying asset…”) </w:t>
      </w:r>
      <w:r w:rsidR="00DE5476">
        <w:t>versus</w:t>
      </w:r>
      <w:r w:rsidR="00A82D01">
        <w:t xml:space="preserve"> only those directly associated with the lease component for which there is no standalone selling price, a reporting entity would be challenged to conclude the timing and pattern of revenue recognition for </w:t>
      </w:r>
      <w:r w:rsidR="00A82D01" w:rsidRPr="00A82D01">
        <w:rPr>
          <w:i/>
        </w:rPr>
        <w:t>all</w:t>
      </w:r>
      <w:r w:rsidR="00A82D01">
        <w:t xml:space="preserve"> components within the arrangement are the same.  </w:t>
      </w:r>
    </w:p>
    <w:p w14:paraId="6A94FE82" w14:textId="2C808EF3" w:rsidR="008214BD" w:rsidRDefault="008214BD" w:rsidP="00AB675A">
      <w:pPr>
        <w:jc w:val="both"/>
        <w:rPr>
          <w:b/>
        </w:rPr>
      </w:pPr>
      <w:r>
        <w:t>Furthermore, paragraph ASC 842-10-15-42A, as drafted, states a lessor may</w:t>
      </w:r>
      <w:r w:rsidR="001244F3">
        <w:t>,</w:t>
      </w:r>
      <w:r>
        <w:t xml:space="preserve"> as an accounting policy election</w:t>
      </w:r>
      <w:r w:rsidR="001244F3">
        <w:t>,</w:t>
      </w:r>
      <w:r>
        <w:t xml:space="preserve"> account for each separate lease component and the </w:t>
      </w:r>
      <w:r w:rsidR="00DE5476">
        <w:t>non-lease</w:t>
      </w:r>
      <w:r>
        <w:t xml:space="preserve"> components associated with the lease component as a “single lease component” if the criteria are met.  We note </w:t>
      </w:r>
      <w:r w:rsidR="00DE5476">
        <w:t xml:space="preserve">that </w:t>
      </w:r>
      <w:r>
        <w:t>in some transactions, such as the real estate example noted above, the predomina</w:t>
      </w:r>
      <w:r w:rsidR="00F77026">
        <w:t>n</w:t>
      </w:r>
      <w:r>
        <w:t xml:space="preserve">t deliverable is the lease component; whereas, </w:t>
      </w:r>
      <w:r w:rsidR="00E32045">
        <w:t xml:space="preserve">in </w:t>
      </w:r>
      <w:r>
        <w:t>other transactions, the lease component is not the predomina</w:t>
      </w:r>
      <w:r w:rsidR="00F77026">
        <w:t>n</w:t>
      </w:r>
      <w:r>
        <w:t xml:space="preserve">t deliverable.  For example, a company may provide “free” equipment to a customer </w:t>
      </w:r>
      <w:r w:rsidR="001244F3">
        <w:t>in a customer contract if the customer agrees to order the company’s p</w:t>
      </w:r>
      <w:r>
        <w:t xml:space="preserve">roducts to be used with the provided free equipment.  These arrangements may or may not require minimum purchase commitments.  </w:t>
      </w:r>
      <w:r>
        <w:lastRenderedPageBreak/>
        <w:t>We believe the</w:t>
      </w:r>
      <w:r w:rsidR="00E32045">
        <w:t xml:space="preserve"> Board should consider allowing entities,</w:t>
      </w:r>
      <w:r>
        <w:t xml:space="preserve"> when making the practical expedient accounting policy election available under paragraph ASC 842-10-15-41A, </w:t>
      </w:r>
      <w:r w:rsidR="00E32045">
        <w:t xml:space="preserve">to make </w:t>
      </w:r>
      <w:r w:rsidR="001244F3">
        <w:t>an</w:t>
      </w:r>
      <w:r w:rsidR="00E32045">
        <w:t xml:space="preserve"> additional</w:t>
      </w:r>
      <w:r w:rsidR="001244F3">
        <w:t xml:space="preserve"> election </w:t>
      </w:r>
      <w:r>
        <w:t xml:space="preserve">to either </w:t>
      </w:r>
      <w:r w:rsidR="001244F3">
        <w:t>account for</w:t>
      </w:r>
      <w:r>
        <w:t xml:space="preserve"> the combined unit of account under ASC 842 or ASC 606, depending upon the facts and circumstances of that arrangement</w:t>
      </w:r>
      <w:r w:rsidR="001244F3">
        <w:t>. We believe</w:t>
      </w:r>
      <w:r w:rsidR="00E32045">
        <w:t xml:space="preserve"> that accounting for the combined component based on the predomina</w:t>
      </w:r>
      <w:r w:rsidR="00F77026">
        <w:t>nt</w:t>
      </w:r>
      <w:r w:rsidR="00E32045">
        <w:t xml:space="preserve"> component could provide more decision useful information to financial statement users</w:t>
      </w:r>
      <w:r w:rsidR="00F77026">
        <w:t>. However, we believe that implementation guidance would be needed to ensure consistent application, given the subjectivity inherent in determining predominance.</w:t>
      </w:r>
      <w:r w:rsidR="001244F3">
        <w:t xml:space="preserve"> </w:t>
      </w:r>
    </w:p>
    <w:p w14:paraId="1645CCA0" w14:textId="57488858" w:rsidR="00AD1FD1" w:rsidRDefault="00B96790" w:rsidP="00AB675A">
      <w:pPr>
        <w:jc w:val="both"/>
      </w:pPr>
      <w:r w:rsidRPr="00B96790">
        <w:rPr>
          <w:b/>
        </w:rPr>
        <w:t>Question 5:</w:t>
      </w:r>
      <w:r>
        <w:t xml:space="preserve"> </w:t>
      </w:r>
      <w:r w:rsidR="000E41FE" w:rsidRPr="000E41FE">
        <w:rPr>
          <w:i/>
        </w:rPr>
        <w:t>Would the information in the financial statements, including disclosures, provided by lessors electing the practical expedient in this proposed Update be decision useful? If not, please explain why.</w:t>
      </w:r>
    </w:p>
    <w:p w14:paraId="2E32C3B8" w14:textId="10B9DE3E" w:rsidR="00665526" w:rsidRPr="00665526" w:rsidRDefault="00B96790" w:rsidP="00AB675A">
      <w:pPr>
        <w:jc w:val="both"/>
        <w:rPr>
          <w:b/>
        </w:rPr>
      </w:pPr>
      <w:r>
        <w:rPr>
          <w:b/>
        </w:rPr>
        <w:t>Response</w:t>
      </w:r>
      <w:r>
        <w:t xml:space="preserve">: </w:t>
      </w:r>
      <w:r w:rsidR="00665526">
        <w:t>We defer to financial statement users to provide feedback regarding the decision usefulness of the information provided by lessors electing the proposed practical expedient</w:t>
      </w:r>
      <w:r w:rsidR="00C24F5E">
        <w:t>.</w:t>
      </w:r>
    </w:p>
    <w:p w14:paraId="46D2DA09" w14:textId="77777777" w:rsidR="00316CB2" w:rsidRDefault="008C6A43" w:rsidP="00AB675A">
      <w:pPr>
        <w:spacing w:after="0"/>
        <w:jc w:val="center"/>
      </w:pPr>
      <w:r>
        <w:t xml:space="preserve">* </w:t>
      </w:r>
      <w:r>
        <w:tab/>
        <w:t>*</w:t>
      </w:r>
      <w:r>
        <w:tab/>
        <w:t>*</w:t>
      </w:r>
      <w:r>
        <w:tab/>
        <w:t>*</w:t>
      </w:r>
      <w:r>
        <w:tab/>
        <w:t>*</w:t>
      </w:r>
      <w:r>
        <w:tab/>
        <w:t>*</w:t>
      </w:r>
    </w:p>
    <w:p w14:paraId="22036D35" w14:textId="77777777" w:rsidR="008C6A43" w:rsidRDefault="008C6A43" w:rsidP="00AB675A">
      <w:pPr>
        <w:spacing w:after="0"/>
        <w:jc w:val="both"/>
      </w:pPr>
    </w:p>
    <w:p w14:paraId="78813DE0" w14:textId="77777777" w:rsidR="00316CB2" w:rsidRPr="00F34F90" w:rsidRDefault="00316CB2" w:rsidP="00AB675A">
      <w:pPr>
        <w:spacing w:after="0"/>
        <w:jc w:val="both"/>
      </w:pPr>
      <w:r w:rsidRPr="00F34F90">
        <w:t xml:space="preserve">We appreciate the opportunity to </w:t>
      </w:r>
      <w:r w:rsidR="008C6A43">
        <w:t>provide</w:t>
      </w:r>
      <w:r w:rsidRPr="00F34F90">
        <w:t xml:space="preserve"> our comments</w:t>
      </w:r>
      <w:r w:rsidR="008C6A43">
        <w:t xml:space="preserve"> and observations on the </w:t>
      </w:r>
      <w:r w:rsidR="008F1D9E">
        <w:t>proposed ASU</w:t>
      </w:r>
      <w:r w:rsidR="008C6A43">
        <w:t xml:space="preserve"> and would be pleased to discuss them with the Board members or the FASB staff at your convenience</w:t>
      </w:r>
      <w:r w:rsidRPr="00F34F90">
        <w:t>.</w:t>
      </w:r>
    </w:p>
    <w:p w14:paraId="112FC05A" w14:textId="77777777" w:rsidR="00316CB2" w:rsidRPr="00F34F90" w:rsidRDefault="00316CB2" w:rsidP="00AB675A">
      <w:pPr>
        <w:spacing w:after="0"/>
        <w:jc w:val="both"/>
      </w:pPr>
    </w:p>
    <w:p w14:paraId="6FF2E77A" w14:textId="77777777" w:rsidR="00316CB2" w:rsidRPr="00F34F90" w:rsidRDefault="00316CB2" w:rsidP="00AB675A">
      <w:pPr>
        <w:spacing w:after="0"/>
        <w:jc w:val="both"/>
      </w:pPr>
      <w:r w:rsidRPr="00F34F90">
        <w:t>Sincerely,</w:t>
      </w:r>
    </w:p>
    <w:p w14:paraId="54A728A8" w14:textId="77777777" w:rsidR="00316CB2" w:rsidRPr="00F21F08" w:rsidRDefault="00316CB2" w:rsidP="00AB675A"/>
    <w:p w14:paraId="2BCFA041" w14:textId="77777777" w:rsidR="008A791F" w:rsidRPr="008B1FB7" w:rsidRDefault="008A791F" w:rsidP="00AB675A">
      <w:pPr>
        <w:rPr>
          <w:sz w:val="20"/>
          <w:szCs w:val="20"/>
        </w:rPr>
      </w:pPr>
      <w:r w:rsidRPr="008B1FB7">
        <w:rPr>
          <w:b/>
          <w:bCs/>
          <w:sz w:val="20"/>
          <w:szCs w:val="20"/>
        </w:rPr>
        <w:t>Ryan Brady, CPA</w:t>
      </w:r>
      <w:r w:rsidRPr="008B1FB7">
        <w:rPr>
          <w:sz w:val="20"/>
          <w:szCs w:val="20"/>
        </w:rPr>
        <w:br/>
        <w:t>Chair, Accounting Principles Committee</w:t>
      </w:r>
    </w:p>
    <w:p w14:paraId="5743B4AE" w14:textId="77777777" w:rsidR="008A791F" w:rsidRPr="008B1FB7" w:rsidRDefault="008A791F" w:rsidP="00AB675A">
      <w:pPr>
        <w:rPr>
          <w:sz w:val="20"/>
          <w:szCs w:val="20"/>
        </w:rPr>
      </w:pPr>
      <w:r w:rsidRPr="008B1FB7">
        <w:rPr>
          <w:b/>
          <w:bCs/>
          <w:sz w:val="20"/>
          <w:szCs w:val="20"/>
        </w:rPr>
        <w:t>Brian Kot, CPA</w:t>
      </w:r>
      <w:r w:rsidRPr="008B1FB7">
        <w:rPr>
          <w:sz w:val="20"/>
          <w:szCs w:val="20"/>
        </w:rPr>
        <w:br/>
        <w:t>Vice Chair, Accounting Principles Committee</w:t>
      </w:r>
    </w:p>
    <w:p w14:paraId="5B775399" w14:textId="77777777" w:rsidR="001674EA" w:rsidRDefault="001674EA" w:rsidP="00316CB2">
      <w:pPr>
        <w:spacing w:after="0"/>
        <w:jc w:val="both"/>
        <w:sectPr w:rsidR="001674EA" w:rsidSect="001674EA">
          <w:footerReference w:type="default" r:id="rId8"/>
          <w:headerReference w:type="first" r:id="rId9"/>
          <w:pgSz w:w="12240" w:h="15840"/>
          <w:pgMar w:top="1440" w:right="1152" w:bottom="1440" w:left="1440" w:header="720" w:footer="720" w:gutter="0"/>
          <w:cols w:space="720"/>
          <w:titlePg/>
          <w:docGrid w:linePitch="360"/>
        </w:sectPr>
      </w:pPr>
    </w:p>
    <w:p w14:paraId="729912E6" w14:textId="77777777" w:rsidR="00DE5476" w:rsidRPr="005150CC" w:rsidRDefault="00DE5476" w:rsidP="00DE5476">
      <w:pPr>
        <w:tabs>
          <w:tab w:val="left" w:pos="360"/>
          <w:tab w:val="center" w:pos="4680"/>
        </w:tabs>
        <w:suppressAutoHyphens/>
        <w:spacing w:after="0"/>
        <w:jc w:val="center"/>
        <w:rPr>
          <w:sz w:val="20"/>
          <w:szCs w:val="20"/>
        </w:rPr>
      </w:pPr>
      <w:r w:rsidRPr="005150CC">
        <w:rPr>
          <w:sz w:val="20"/>
          <w:szCs w:val="20"/>
        </w:rPr>
        <w:lastRenderedPageBreak/>
        <w:t>APPENDIX A</w:t>
      </w:r>
    </w:p>
    <w:p w14:paraId="757703DA" w14:textId="77777777" w:rsidR="00DE5476" w:rsidRPr="00431A64" w:rsidRDefault="00DE5476" w:rsidP="00DE5476">
      <w:pPr>
        <w:tabs>
          <w:tab w:val="left" w:pos="360"/>
          <w:tab w:val="center" w:pos="4680"/>
        </w:tabs>
        <w:suppressAutoHyphens/>
        <w:spacing w:after="0"/>
        <w:jc w:val="center"/>
        <w:rPr>
          <w:sz w:val="20"/>
          <w:szCs w:val="20"/>
        </w:rPr>
      </w:pPr>
      <w:r w:rsidRPr="00431A64">
        <w:rPr>
          <w:sz w:val="20"/>
          <w:szCs w:val="20"/>
        </w:rPr>
        <w:t>ACCOUNTING PRINCIPLES COMMITTEE</w:t>
      </w:r>
    </w:p>
    <w:p w14:paraId="71DBBD99" w14:textId="77777777" w:rsidR="00DE5476" w:rsidRPr="00431A64" w:rsidRDefault="00DE5476" w:rsidP="00DE5476">
      <w:pPr>
        <w:tabs>
          <w:tab w:val="center" w:pos="4680"/>
        </w:tabs>
        <w:suppressAutoHyphens/>
        <w:spacing w:after="0"/>
        <w:jc w:val="center"/>
        <w:rPr>
          <w:sz w:val="20"/>
          <w:szCs w:val="20"/>
        </w:rPr>
      </w:pPr>
      <w:r w:rsidRPr="00431A64">
        <w:rPr>
          <w:sz w:val="20"/>
          <w:szCs w:val="20"/>
        </w:rPr>
        <w:t>ORGANIZATION AND OPERATING PROCEDURES</w:t>
      </w:r>
    </w:p>
    <w:p w14:paraId="16059D15" w14:textId="77777777" w:rsidR="00DE5476" w:rsidRPr="00431A64" w:rsidRDefault="00DE5476" w:rsidP="00DE5476">
      <w:pPr>
        <w:tabs>
          <w:tab w:val="center" w:pos="4680"/>
        </w:tabs>
        <w:suppressAutoHyphens/>
        <w:spacing w:after="0"/>
        <w:jc w:val="center"/>
        <w:rPr>
          <w:sz w:val="20"/>
          <w:szCs w:val="20"/>
        </w:rPr>
      </w:pPr>
      <w:r w:rsidRPr="00431A64">
        <w:rPr>
          <w:sz w:val="20"/>
          <w:szCs w:val="20"/>
        </w:rPr>
        <w:t>2017-2018</w:t>
      </w:r>
    </w:p>
    <w:p w14:paraId="7067E3E6" w14:textId="77777777" w:rsidR="00DE5476" w:rsidRPr="00C458D7" w:rsidRDefault="00DE5476" w:rsidP="00DE5476">
      <w:pPr>
        <w:pStyle w:val="NoSpacing"/>
        <w:rPr>
          <w:sz w:val="20"/>
          <w:szCs w:val="20"/>
        </w:rPr>
      </w:pPr>
    </w:p>
    <w:p w14:paraId="5C9EF460" w14:textId="77777777" w:rsidR="00DE5476" w:rsidRDefault="00DE5476" w:rsidP="00DE5476">
      <w:pPr>
        <w:pStyle w:val="NoSpacing"/>
        <w:jc w:val="both"/>
        <w:rPr>
          <w:spacing w:val="-3"/>
          <w:sz w:val="20"/>
          <w:szCs w:val="20"/>
        </w:rPr>
      </w:pPr>
      <w:r w:rsidRPr="00C458D7">
        <w:rPr>
          <w:spacing w:val="-3"/>
          <w:sz w:val="20"/>
          <w:szCs w:val="20"/>
        </w:rPr>
        <w:t xml:space="preserve">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 and do not purport to represent the views of their business affiliations. </w:t>
      </w:r>
    </w:p>
    <w:p w14:paraId="5911F099" w14:textId="77777777" w:rsidR="00DE5476" w:rsidRPr="00C458D7" w:rsidRDefault="00DE5476" w:rsidP="00DE5476">
      <w:pPr>
        <w:pStyle w:val="NoSpacing"/>
        <w:jc w:val="both"/>
        <w:rPr>
          <w:spacing w:val="-3"/>
          <w:sz w:val="20"/>
          <w:szCs w:val="20"/>
        </w:rPr>
      </w:pPr>
    </w:p>
    <w:p w14:paraId="204802BD" w14:textId="77777777" w:rsidR="00DE5476" w:rsidRDefault="00DE5476" w:rsidP="00DE5476">
      <w:pPr>
        <w:pStyle w:val="NoSpacing"/>
        <w:jc w:val="both"/>
        <w:rPr>
          <w:spacing w:val="-3"/>
          <w:sz w:val="20"/>
          <w:szCs w:val="20"/>
        </w:rPr>
      </w:pPr>
      <w:r w:rsidRPr="00C458D7">
        <w:rPr>
          <w:spacing w:val="-3"/>
          <w:sz w:val="20"/>
          <w:szCs w:val="20"/>
        </w:rPr>
        <w:t>The Committee usually operates by assigning Subcommittees of its members to fully study and discuss exposure documents proposing additions to or revisions of accounting standards. The Subcommittee ordinarily develops a proposed response that is considered, discussed and voted on by the full Committee. Support by the full Committee then results in the issuance of a formal response, which at times includes a minority viewpoint. Current members of the Committee and their business affiliations are as follows:</w:t>
      </w:r>
    </w:p>
    <w:p w14:paraId="059DC862" w14:textId="77777777" w:rsidR="00DE5476" w:rsidRPr="00C458D7" w:rsidRDefault="00DE5476" w:rsidP="00DE5476">
      <w:pPr>
        <w:pStyle w:val="NoSpacing"/>
        <w:jc w:val="both"/>
        <w:rPr>
          <w:b/>
          <w:spacing w:val="-3"/>
          <w:sz w:val="20"/>
          <w:szCs w:val="20"/>
        </w:rPr>
      </w:pPr>
    </w:p>
    <w:p w14:paraId="111D022A" w14:textId="77777777" w:rsidR="00DE5476" w:rsidRPr="00431A64" w:rsidRDefault="00DE5476" w:rsidP="00DE5476">
      <w:pPr>
        <w:tabs>
          <w:tab w:val="left" w:pos="-720"/>
        </w:tabs>
        <w:suppressAutoHyphens/>
        <w:spacing w:after="0"/>
        <w:jc w:val="both"/>
        <w:rPr>
          <w:b/>
          <w:spacing w:val="-3"/>
          <w:sz w:val="20"/>
          <w:szCs w:val="20"/>
        </w:rPr>
      </w:pPr>
      <w:r w:rsidRPr="00431A64">
        <w:rPr>
          <w:b/>
          <w:spacing w:val="-3"/>
          <w:sz w:val="20"/>
          <w:szCs w:val="20"/>
        </w:rPr>
        <w:t>Public Accounting Firms:</w:t>
      </w:r>
    </w:p>
    <w:p w14:paraId="20E8BF54" w14:textId="77777777" w:rsidR="00DE5476" w:rsidRPr="00431A64" w:rsidRDefault="00DE5476" w:rsidP="00DE5476">
      <w:pPr>
        <w:tabs>
          <w:tab w:val="left" w:pos="-720"/>
        </w:tabs>
        <w:suppressAutoHyphens/>
        <w:spacing w:after="0"/>
        <w:jc w:val="both"/>
        <w:rPr>
          <w:b/>
          <w:spacing w:val="-3"/>
          <w:sz w:val="20"/>
          <w:szCs w:val="20"/>
        </w:rPr>
      </w:pPr>
      <w:r w:rsidRPr="00431A64">
        <w:rPr>
          <w:b/>
          <w:spacing w:val="-3"/>
          <w:sz w:val="20"/>
          <w:szCs w:val="20"/>
        </w:rPr>
        <w:t xml:space="preserve">   Large: </w:t>
      </w:r>
      <w:r w:rsidRPr="00431A64">
        <w:rPr>
          <w:spacing w:val="-3"/>
          <w:sz w:val="20"/>
          <w:szCs w:val="20"/>
        </w:rPr>
        <w:t>(national &amp; regional)</w:t>
      </w:r>
    </w:p>
    <w:p w14:paraId="1C00CA97" w14:textId="77777777" w:rsidR="00DE5476" w:rsidRPr="00C458D7" w:rsidRDefault="00DE5476" w:rsidP="00DE5476">
      <w:pPr>
        <w:pStyle w:val="NoSpacing"/>
        <w:tabs>
          <w:tab w:val="left" w:pos="360"/>
        </w:tabs>
        <w:rPr>
          <w:sz w:val="20"/>
          <w:szCs w:val="20"/>
        </w:rPr>
      </w:pPr>
      <w:r>
        <w:rPr>
          <w:sz w:val="20"/>
          <w:szCs w:val="20"/>
          <w:lang w:val="fr-FR"/>
        </w:rPr>
        <w:tab/>
      </w:r>
      <w:r w:rsidRPr="00C458D7">
        <w:rPr>
          <w:sz w:val="20"/>
          <w:szCs w:val="20"/>
          <w:lang w:val="fr-FR"/>
        </w:rPr>
        <w:t xml:space="preserve">Timothy Bellazzini, CPA                         </w:t>
      </w:r>
      <w:r>
        <w:rPr>
          <w:sz w:val="20"/>
          <w:szCs w:val="20"/>
          <w:lang w:val="fr-FR"/>
        </w:rPr>
        <w:t xml:space="preserve">            </w:t>
      </w:r>
      <w:r>
        <w:rPr>
          <w:sz w:val="20"/>
          <w:szCs w:val="20"/>
          <w:lang w:val="fr-FR"/>
        </w:rPr>
        <w:tab/>
        <w:t>S</w:t>
      </w:r>
      <w:r w:rsidRPr="00C458D7">
        <w:rPr>
          <w:sz w:val="20"/>
          <w:szCs w:val="20"/>
          <w:lang w:val="fr-FR"/>
        </w:rPr>
        <w:t>ikich LLP</w:t>
      </w:r>
    </w:p>
    <w:p w14:paraId="6568CADC" w14:textId="77777777" w:rsidR="00DE5476" w:rsidRPr="00C458D7" w:rsidRDefault="00DE5476" w:rsidP="00DE5476">
      <w:pPr>
        <w:pStyle w:val="NoSpacing"/>
        <w:tabs>
          <w:tab w:val="left" w:pos="360"/>
        </w:tabs>
        <w:rPr>
          <w:sz w:val="20"/>
          <w:szCs w:val="20"/>
        </w:rPr>
      </w:pPr>
      <w:r w:rsidRPr="00C458D7">
        <w:rPr>
          <w:sz w:val="20"/>
          <w:szCs w:val="20"/>
        </w:rPr>
        <w:t xml:space="preserve">       </w:t>
      </w:r>
      <w:r>
        <w:rPr>
          <w:sz w:val="20"/>
          <w:szCs w:val="20"/>
        </w:rPr>
        <w:tab/>
      </w:r>
      <w:r w:rsidRPr="00C458D7">
        <w:rPr>
          <w:sz w:val="20"/>
          <w:szCs w:val="20"/>
        </w:rPr>
        <w:t>Jared Bourgeois, CPA</w:t>
      </w:r>
      <w:r w:rsidRPr="00C458D7">
        <w:rPr>
          <w:sz w:val="20"/>
          <w:szCs w:val="20"/>
        </w:rPr>
        <w:tab/>
      </w:r>
      <w:r w:rsidRPr="00C458D7">
        <w:rPr>
          <w:sz w:val="20"/>
          <w:szCs w:val="20"/>
        </w:rPr>
        <w:tab/>
      </w:r>
      <w:r>
        <w:rPr>
          <w:sz w:val="20"/>
          <w:szCs w:val="20"/>
        </w:rPr>
        <w:tab/>
      </w:r>
      <w:r>
        <w:rPr>
          <w:sz w:val="20"/>
          <w:szCs w:val="20"/>
        </w:rPr>
        <w:tab/>
      </w:r>
      <w:r w:rsidRPr="00C458D7">
        <w:rPr>
          <w:sz w:val="20"/>
          <w:szCs w:val="20"/>
        </w:rPr>
        <w:t xml:space="preserve">PricewaterhouseCoopers LLP </w:t>
      </w:r>
    </w:p>
    <w:p w14:paraId="003B491F" w14:textId="77777777" w:rsidR="00DE5476" w:rsidRPr="00C458D7" w:rsidRDefault="00DE5476" w:rsidP="00DE5476">
      <w:pPr>
        <w:pStyle w:val="NoSpacing"/>
        <w:tabs>
          <w:tab w:val="left" w:pos="360"/>
        </w:tabs>
        <w:rPr>
          <w:sz w:val="20"/>
          <w:szCs w:val="20"/>
        </w:rPr>
      </w:pPr>
      <w:r w:rsidRPr="00C458D7">
        <w:rPr>
          <w:sz w:val="20"/>
          <w:szCs w:val="20"/>
        </w:rPr>
        <w:tab/>
        <w:t>Ryan Brady, CPA (Chair)</w:t>
      </w:r>
      <w:r w:rsidRPr="00C458D7">
        <w:rPr>
          <w:sz w:val="20"/>
          <w:szCs w:val="20"/>
        </w:rPr>
        <w:tab/>
      </w:r>
      <w:r w:rsidRPr="00C458D7">
        <w:rPr>
          <w:sz w:val="20"/>
          <w:szCs w:val="20"/>
        </w:rPr>
        <w:tab/>
      </w:r>
      <w:r>
        <w:rPr>
          <w:sz w:val="20"/>
          <w:szCs w:val="20"/>
        </w:rPr>
        <w:tab/>
      </w:r>
      <w:r w:rsidRPr="00C458D7">
        <w:rPr>
          <w:sz w:val="20"/>
          <w:szCs w:val="20"/>
        </w:rPr>
        <w:t>Grant Thornton LLP</w:t>
      </w:r>
    </w:p>
    <w:p w14:paraId="7D70CCA6" w14:textId="77777777" w:rsidR="00DE5476" w:rsidRPr="00C458D7" w:rsidRDefault="00DE5476" w:rsidP="00DE5476">
      <w:pPr>
        <w:pStyle w:val="NoSpacing"/>
        <w:tabs>
          <w:tab w:val="left" w:pos="360"/>
        </w:tabs>
        <w:rPr>
          <w:sz w:val="20"/>
          <w:szCs w:val="20"/>
        </w:rPr>
      </w:pPr>
      <w:r w:rsidRPr="00C458D7">
        <w:rPr>
          <w:sz w:val="20"/>
          <w:szCs w:val="20"/>
        </w:rPr>
        <w:tab/>
        <w:t>Jason Eaves, CPA                                                  Crowe Horwath LLP</w:t>
      </w:r>
    </w:p>
    <w:p w14:paraId="6B680AD1" w14:textId="77777777" w:rsidR="00DE5476" w:rsidRPr="00C458D7" w:rsidRDefault="00DE5476" w:rsidP="00DE5476">
      <w:pPr>
        <w:pStyle w:val="NoSpacing"/>
        <w:tabs>
          <w:tab w:val="left" w:pos="360"/>
        </w:tabs>
        <w:rPr>
          <w:sz w:val="20"/>
          <w:szCs w:val="20"/>
        </w:rPr>
      </w:pPr>
      <w:r w:rsidRPr="00C458D7">
        <w:rPr>
          <w:sz w:val="20"/>
          <w:szCs w:val="20"/>
        </w:rPr>
        <w:tab/>
        <w:t>William Keirse, CPA</w:t>
      </w:r>
      <w:r w:rsidRPr="00C458D7">
        <w:rPr>
          <w:sz w:val="20"/>
          <w:szCs w:val="20"/>
        </w:rPr>
        <w:tab/>
      </w:r>
      <w:r w:rsidRPr="00C458D7">
        <w:rPr>
          <w:sz w:val="20"/>
          <w:szCs w:val="20"/>
        </w:rPr>
        <w:tab/>
      </w:r>
      <w:r>
        <w:rPr>
          <w:sz w:val="20"/>
          <w:szCs w:val="20"/>
        </w:rPr>
        <w:tab/>
      </w:r>
      <w:r>
        <w:rPr>
          <w:sz w:val="20"/>
          <w:szCs w:val="20"/>
        </w:rPr>
        <w:tab/>
      </w:r>
      <w:r w:rsidRPr="00C458D7">
        <w:rPr>
          <w:sz w:val="20"/>
          <w:szCs w:val="20"/>
        </w:rPr>
        <w:t>Ernst &amp; Young LLP</w:t>
      </w:r>
    </w:p>
    <w:p w14:paraId="1173EE96" w14:textId="77777777" w:rsidR="00DE5476" w:rsidRPr="00C458D7" w:rsidRDefault="00DE5476" w:rsidP="00DE5476">
      <w:pPr>
        <w:pStyle w:val="NoSpacing"/>
        <w:tabs>
          <w:tab w:val="left" w:pos="360"/>
        </w:tabs>
        <w:rPr>
          <w:sz w:val="20"/>
          <w:szCs w:val="20"/>
        </w:rPr>
      </w:pPr>
      <w:r w:rsidRPr="00C458D7">
        <w:rPr>
          <w:sz w:val="20"/>
          <w:szCs w:val="20"/>
        </w:rPr>
        <w:tab/>
        <w:t xml:space="preserve">Scott Lehman, CPA </w:t>
      </w:r>
      <w:r w:rsidRPr="00C458D7">
        <w:rPr>
          <w:sz w:val="20"/>
          <w:szCs w:val="20"/>
        </w:rPr>
        <w:tab/>
        <w:t xml:space="preserve">  </w:t>
      </w:r>
      <w:r>
        <w:rPr>
          <w:sz w:val="20"/>
          <w:szCs w:val="20"/>
        </w:rPr>
        <w:tab/>
      </w:r>
      <w:r>
        <w:rPr>
          <w:sz w:val="20"/>
          <w:szCs w:val="20"/>
        </w:rPr>
        <w:tab/>
      </w:r>
      <w:r>
        <w:rPr>
          <w:sz w:val="20"/>
          <w:szCs w:val="20"/>
        </w:rPr>
        <w:tab/>
      </w:r>
      <w:r w:rsidRPr="00C458D7">
        <w:rPr>
          <w:sz w:val="20"/>
          <w:szCs w:val="20"/>
        </w:rPr>
        <w:t>Crowe Horwath LLP</w:t>
      </w:r>
    </w:p>
    <w:p w14:paraId="2794B14F" w14:textId="77777777" w:rsidR="00DE5476" w:rsidRDefault="00DE5476" w:rsidP="00DE5476">
      <w:pPr>
        <w:pStyle w:val="NoSpacing"/>
        <w:tabs>
          <w:tab w:val="left" w:pos="360"/>
        </w:tabs>
        <w:rPr>
          <w:sz w:val="20"/>
          <w:szCs w:val="20"/>
          <w:lang w:val="fr-FR"/>
        </w:rPr>
      </w:pPr>
      <w:r w:rsidRPr="00C458D7">
        <w:rPr>
          <w:sz w:val="20"/>
          <w:szCs w:val="20"/>
        </w:rPr>
        <w:t xml:space="preserve">       </w:t>
      </w:r>
      <w:r w:rsidRPr="00C458D7">
        <w:rPr>
          <w:sz w:val="20"/>
          <w:szCs w:val="20"/>
          <w:lang w:val="fr-FR"/>
        </w:rPr>
        <w:t>Melissa Lynch, CPA                                              Plante Moran, PLLC</w:t>
      </w:r>
    </w:p>
    <w:p w14:paraId="0E62DBC0" w14:textId="77777777" w:rsidR="00DE5476" w:rsidRPr="00C458D7" w:rsidRDefault="00DE5476" w:rsidP="00DE5476">
      <w:pPr>
        <w:pStyle w:val="NoSpacing"/>
        <w:tabs>
          <w:tab w:val="left" w:pos="360"/>
        </w:tabs>
        <w:rPr>
          <w:sz w:val="20"/>
          <w:szCs w:val="20"/>
          <w:lang w:val="fr-FR"/>
        </w:rPr>
      </w:pPr>
      <w:r>
        <w:rPr>
          <w:sz w:val="20"/>
          <w:szCs w:val="20"/>
          <w:lang w:val="fr-FR"/>
        </w:rPr>
        <w:t xml:space="preserve">       Thomas Masterson</w:t>
      </w:r>
      <w:r w:rsidRPr="00C458D7">
        <w:rPr>
          <w:sz w:val="20"/>
          <w:szCs w:val="20"/>
          <w:lang w:val="fr-FR"/>
        </w:rPr>
        <w:t>, CPA</w:t>
      </w:r>
      <w:r w:rsidRPr="00C458D7">
        <w:rPr>
          <w:sz w:val="20"/>
          <w:szCs w:val="20"/>
        </w:rPr>
        <w:tab/>
      </w:r>
      <w:r w:rsidRPr="00C458D7">
        <w:rPr>
          <w:sz w:val="20"/>
          <w:szCs w:val="20"/>
          <w:lang w:val="fr-FR"/>
        </w:rPr>
        <w:t xml:space="preserve">  </w:t>
      </w:r>
      <w:r>
        <w:rPr>
          <w:sz w:val="20"/>
          <w:szCs w:val="20"/>
          <w:lang w:val="fr-FR"/>
        </w:rPr>
        <w:tab/>
      </w:r>
      <w:r>
        <w:rPr>
          <w:sz w:val="20"/>
          <w:szCs w:val="20"/>
          <w:lang w:val="fr-FR"/>
        </w:rPr>
        <w:tab/>
      </w:r>
      <w:r w:rsidRPr="00C458D7">
        <w:rPr>
          <w:sz w:val="20"/>
          <w:szCs w:val="20"/>
          <w:lang w:val="fr-FR"/>
        </w:rPr>
        <w:t>Wipfli LLP</w:t>
      </w:r>
    </w:p>
    <w:p w14:paraId="01950322" w14:textId="77777777" w:rsidR="00DE5476" w:rsidRPr="00C458D7" w:rsidRDefault="00DE5476" w:rsidP="00DE5476">
      <w:pPr>
        <w:pStyle w:val="NoSpacing"/>
        <w:tabs>
          <w:tab w:val="left" w:pos="360"/>
        </w:tabs>
        <w:rPr>
          <w:sz w:val="20"/>
          <w:szCs w:val="20"/>
          <w:lang w:val="fr-FR"/>
        </w:rPr>
      </w:pPr>
      <w:r w:rsidRPr="00C458D7">
        <w:rPr>
          <w:sz w:val="20"/>
          <w:szCs w:val="20"/>
          <w:lang w:val="fr-FR"/>
        </w:rPr>
        <w:t xml:space="preserve">       Reid Mitchell, CPA</w:t>
      </w:r>
      <w:r w:rsidRPr="00C458D7">
        <w:rPr>
          <w:sz w:val="20"/>
          <w:szCs w:val="20"/>
        </w:rPr>
        <w:tab/>
      </w:r>
      <w:r w:rsidRPr="00C458D7">
        <w:rPr>
          <w:sz w:val="20"/>
          <w:szCs w:val="20"/>
          <w:lang w:val="fr-FR"/>
        </w:rPr>
        <w:t xml:space="preserve">  </w:t>
      </w:r>
      <w:r>
        <w:rPr>
          <w:sz w:val="20"/>
          <w:szCs w:val="20"/>
          <w:lang w:val="fr-FR"/>
        </w:rPr>
        <w:tab/>
      </w:r>
      <w:r>
        <w:rPr>
          <w:sz w:val="20"/>
          <w:szCs w:val="20"/>
          <w:lang w:val="fr-FR"/>
        </w:rPr>
        <w:tab/>
      </w:r>
      <w:r>
        <w:rPr>
          <w:sz w:val="20"/>
          <w:szCs w:val="20"/>
          <w:lang w:val="fr-FR"/>
        </w:rPr>
        <w:tab/>
      </w:r>
      <w:r w:rsidRPr="00C458D7">
        <w:rPr>
          <w:sz w:val="20"/>
          <w:szCs w:val="20"/>
          <w:lang w:val="fr-FR"/>
        </w:rPr>
        <w:t>Wipfli LLP</w:t>
      </w:r>
    </w:p>
    <w:p w14:paraId="4CA5F389" w14:textId="77777777" w:rsidR="00DE5476" w:rsidRPr="00C458D7" w:rsidRDefault="00DE5476" w:rsidP="00DE5476">
      <w:pPr>
        <w:pStyle w:val="NoSpacing"/>
        <w:tabs>
          <w:tab w:val="left" w:pos="360"/>
        </w:tabs>
        <w:rPr>
          <w:sz w:val="20"/>
          <w:szCs w:val="20"/>
        </w:rPr>
      </w:pPr>
      <w:r w:rsidRPr="00C458D7">
        <w:rPr>
          <w:sz w:val="20"/>
          <w:szCs w:val="20"/>
        </w:rPr>
        <w:t xml:space="preserve">       Matthew Mitzen, CPA</w:t>
      </w:r>
      <w:r w:rsidRPr="00C458D7">
        <w:rPr>
          <w:sz w:val="20"/>
          <w:szCs w:val="20"/>
        </w:rPr>
        <w:tab/>
        <w:t xml:space="preserve">  </w:t>
      </w:r>
      <w:r>
        <w:rPr>
          <w:sz w:val="20"/>
          <w:szCs w:val="20"/>
        </w:rPr>
        <w:tab/>
      </w:r>
      <w:r>
        <w:rPr>
          <w:sz w:val="20"/>
          <w:szCs w:val="20"/>
        </w:rPr>
        <w:tab/>
      </w:r>
      <w:r w:rsidRPr="00C458D7">
        <w:rPr>
          <w:sz w:val="20"/>
          <w:szCs w:val="20"/>
        </w:rPr>
        <w:t>Marcum LLP</w:t>
      </w:r>
    </w:p>
    <w:p w14:paraId="157CB3DA" w14:textId="77777777" w:rsidR="00DE5476" w:rsidRDefault="00DE5476" w:rsidP="00DE5476">
      <w:pPr>
        <w:pStyle w:val="NoSpacing"/>
        <w:tabs>
          <w:tab w:val="left" w:pos="360"/>
        </w:tabs>
        <w:ind w:left="360" w:hanging="360"/>
        <w:rPr>
          <w:sz w:val="20"/>
          <w:szCs w:val="20"/>
          <w:lang w:val="fr-FR"/>
        </w:rPr>
      </w:pPr>
      <w:r w:rsidRPr="00C458D7">
        <w:rPr>
          <w:sz w:val="20"/>
          <w:szCs w:val="20"/>
          <w:lang w:val="fr-FR"/>
        </w:rPr>
        <w:t xml:space="preserve">       Elizabeth Prossnitz, CPA</w:t>
      </w:r>
      <w:r w:rsidRPr="00C458D7">
        <w:rPr>
          <w:sz w:val="20"/>
          <w:szCs w:val="20"/>
          <w:lang w:val="fr-FR"/>
        </w:rPr>
        <w:tab/>
      </w:r>
      <w:r w:rsidRPr="00C458D7">
        <w:rPr>
          <w:sz w:val="20"/>
          <w:szCs w:val="20"/>
          <w:lang w:val="fr-FR"/>
        </w:rPr>
        <w:tab/>
      </w:r>
      <w:r>
        <w:rPr>
          <w:sz w:val="20"/>
          <w:szCs w:val="20"/>
          <w:lang w:val="fr-FR"/>
        </w:rPr>
        <w:tab/>
        <w:t>BDO USA LLP</w:t>
      </w:r>
      <w:r>
        <w:rPr>
          <w:sz w:val="20"/>
          <w:szCs w:val="20"/>
          <w:lang w:val="fr-FR"/>
        </w:rPr>
        <w:tab/>
      </w:r>
    </w:p>
    <w:p w14:paraId="6C0C7268" w14:textId="77777777" w:rsidR="00DE5476" w:rsidRPr="00C458D7" w:rsidRDefault="00DE5476" w:rsidP="00DE5476">
      <w:pPr>
        <w:pStyle w:val="NoSpacing"/>
        <w:tabs>
          <w:tab w:val="left" w:pos="360"/>
        </w:tabs>
        <w:ind w:left="360" w:hanging="360"/>
        <w:rPr>
          <w:sz w:val="20"/>
          <w:szCs w:val="20"/>
          <w:lang w:val="fr-FR"/>
        </w:rPr>
      </w:pPr>
      <w:r>
        <w:rPr>
          <w:sz w:val="20"/>
          <w:szCs w:val="20"/>
          <w:lang w:val="fr-FR"/>
        </w:rPr>
        <w:t xml:space="preserve">  </w:t>
      </w:r>
      <w:r w:rsidRPr="00C458D7">
        <w:rPr>
          <w:b/>
          <w:sz w:val="20"/>
          <w:szCs w:val="20"/>
          <w:lang w:val="fr-FR"/>
        </w:rPr>
        <w:t xml:space="preserve">Medium: </w:t>
      </w:r>
      <w:r w:rsidRPr="00C458D7">
        <w:rPr>
          <w:sz w:val="20"/>
          <w:szCs w:val="20"/>
          <w:lang w:val="fr-FR"/>
        </w:rPr>
        <w:t xml:space="preserve">(more than 40 </w:t>
      </w:r>
      <w:r w:rsidRPr="00C458D7">
        <w:rPr>
          <w:sz w:val="20"/>
          <w:szCs w:val="20"/>
        </w:rPr>
        <w:t>professionals</w:t>
      </w:r>
      <w:r w:rsidRPr="00C458D7">
        <w:rPr>
          <w:sz w:val="20"/>
          <w:szCs w:val="20"/>
          <w:lang w:val="fr-FR"/>
        </w:rPr>
        <w:t>)</w:t>
      </w:r>
      <w:r w:rsidRPr="00C458D7">
        <w:rPr>
          <w:sz w:val="20"/>
          <w:szCs w:val="20"/>
          <w:lang w:val="fr-FR"/>
        </w:rPr>
        <w:br/>
        <w:t xml:space="preserve">Almira Goethe, CPA                               </w:t>
      </w:r>
      <w:r>
        <w:rPr>
          <w:sz w:val="20"/>
          <w:szCs w:val="20"/>
          <w:lang w:val="fr-FR"/>
        </w:rPr>
        <w:tab/>
      </w:r>
      <w:r>
        <w:rPr>
          <w:sz w:val="20"/>
          <w:szCs w:val="20"/>
          <w:lang w:val="fr-FR"/>
        </w:rPr>
        <w:tab/>
      </w:r>
      <w:r w:rsidRPr="00C458D7">
        <w:rPr>
          <w:sz w:val="20"/>
          <w:szCs w:val="20"/>
          <w:lang w:val="fr-FR"/>
        </w:rPr>
        <w:t>CDH, PC</w:t>
      </w:r>
    </w:p>
    <w:p w14:paraId="348DF32C" w14:textId="77777777" w:rsidR="00DE5476" w:rsidRPr="00431A64" w:rsidRDefault="00DE5476" w:rsidP="00DE5476">
      <w:pPr>
        <w:pStyle w:val="NoSpacing"/>
        <w:tabs>
          <w:tab w:val="left" w:pos="360"/>
        </w:tabs>
        <w:rPr>
          <w:spacing w:val="-3"/>
          <w:sz w:val="20"/>
          <w:szCs w:val="20"/>
        </w:rPr>
      </w:pPr>
      <w:r>
        <w:rPr>
          <w:spacing w:val="-3"/>
          <w:sz w:val="20"/>
          <w:szCs w:val="20"/>
          <w:lang w:val="fr-FR"/>
        </w:rPr>
        <w:t xml:space="preserve">  </w:t>
      </w:r>
      <w:r>
        <w:rPr>
          <w:spacing w:val="-3"/>
          <w:sz w:val="20"/>
          <w:szCs w:val="20"/>
          <w:lang w:val="fr-FR"/>
        </w:rPr>
        <w:tab/>
      </w:r>
      <w:r w:rsidRPr="00431A64">
        <w:rPr>
          <w:spacing w:val="-3"/>
          <w:sz w:val="20"/>
          <w:szCs w:val="20"/>
        </w:rPr>
        <w:t>Michael Kidd, CPA</w:t>
      </w:r>
      <w:r w:rsidRPr="00431A64">
        <w:rPr>
          <w:spacing w:val="-3"/>
          <w:sz w:val="20"/>
          <w:szCs w:val="20"/>
        </w:rPr>
        <w:tab/>
      </w:r>
      <w:r>
        <w:rPr>
          <w:spacing w:val="-3"/>
          <w:sz w:val="20"/>
          <w:szCs w:val="20"/>
        </w:rPr>
        <w:tab/>
      </w:r>
      <w:r>
        <w:rPr>
          <w:spacing w:val="-3"/>
          <w:sz w:val="20"/>
          <w:szCs w:val="20"/>
        </w:rPr>
        <w:tab/>
      </w:r>
      <w:r w:rsidRPr="00431A64">
        <w:rPr>
          <w:spacing w:val="-3"/>
          <w:sz w:val="20"/>
          <w:szCs w:val="20"/>
        </w:rPr>
        <w:tab/>
        <w:t>Mowery &amp; Schoenfeld LLC</w:t>
      </w:r>
    </w:p>
    <w:p w14:paraId="44B6AE55" w14:textId="77777777" w:rsidR="00DE5476" w:rsidRPr="00431A64" w:rsidRDefault="00DE5476" w:rsidP="00DE5476">
      <w:pPr>
        <w:pStyle w:val="NoSpacing"/>
        <w:tabs>
          <w:tab w:val="left" w:pos="360"/>
        </w:tabs>
        <w:rPr>
          <w:sz w:val="20"/>
          <w:szCs w:val="20"/>
        </w:rPr>
      </w:pPr>
      <w:r>
        <w:rPr>
          <w:spacing w:val="-3"/>
          <w:sz w:val="20"/>
          <w:szCs w:val="20"/>
        </w:rPr>
        <w:t xml:space="preserve">        </w:t>
      </w:r>
      <w:r w:rsidRPr="00431A64">
        <w:rPr>
          <w:spacing w:val="-3"/>
          <w:sz w:val="20"/>
          <w:szCs w:val="20"/>
        </w:rPr>
        <w:t>Danielle Martin, CPA</w:t>
      </w:r>
      <w:r w:rsidRPr="00431A64">
        <w:rPr>
          <w:spacing w:val="-3"/>
          <w:sz w:val="20"/>
          <w:szCs w:val="20"/>
        </w:rPr>
        <w:tab/>
      </w:r>
      <w:r w:rsidRPr="00431A64">
        <w:rPr>
          <w:spacing w:val="-3"/>
          <w:sz w:val="20"/>
          <w:szCs w:val="20"/>
        </w:rPr>
        <w:tab/>
      </w:r>
      <w:r>
        <w:rPr>
          <w:spacing w:val="-3"/>
          <w:sz w:val="20"/>
          <w:szCs w:val="20"/>
        </w:rPr>
        <w:tab/>
      </w:r>
      <w:r>
        <w:rPr>
          <w:spacing w:val="-3"/>
          <w:sz w:val="20"/>
          <w:szCs w:val="20"/>
        </w:rPr>
        <w:tab/>
      </w:r>
      <w:r w:rsidRPr="00431A64">
        <w:rPr>
          <w:spacing w:val="-3"/>
          <w:sz w:val="20"/>
          <w:szCs w:val="20"/>
        </w:rPr>
        <w:t>Porte Brown LLC</w:t>
      </w:r>
      <w:r w:rsidRPr="00431A64">
        <w:rPr>
          <w:spacing w:val="-3"/>
          <w:sz w:val="20"/>
          <w:szCs w:val="20"/>
        </w:rPr>
        <w:br/>
        <w:t xml:space="preserve">     </w:t>
      </w:r>
      <w:r>
        <w:rPr>
          <w:spacing w:val="-3"/>
          <w:sz w:val="20"/>
          <w:szCs w:val="20"/>
        </w:rPr>
        <w:tab/>
      </w:r>
      <w:r w:rsidRPr="00431A64">
        <w:rPr>
          <w:spacing w:val="-3"/>
          <w:sz w:val="20"/>
          <w:szCs w:val="20"/>
        </w:rPr>
        <w:t xml:space="preserve">Iryna Prokhorov, CPA                         </w:t>
      </w:r>
      <w:r>
        <w:rPr>
          <w:spacing w:val="-3"/>
          <w:sz w:val="20"/>
          <w:szCs w:val="20"/>
        </w:rPr>
        <w:t xml:space="preserve">                    </w:t>
      </w:r>
      <w:r>
        <w:rPr>
          <w:spacing w:val="-3"/>
          <w:sz w:val="20"/>
          <w:szCs w:val="20"/>
        </w:rPr>
        <w:tab/>
      </w:r>
      <w:r w:rsidRPr="00431A64">
        <w:rPr>
          <w:spacing w:val="-3"/>
          <w:sz w:val="20"/>
          <w:szCs w:val="20"/>
        </w:rPr>
        <w:t xml:space="preserve">Mueller &amp; Company, LLP  </w:t>
      </w:r>
      <w:r w:rsidRPr="00431A64">
        <w:rPr>
          <w:spacing w:val="-3"/>
          <w:sz w:val="20"/>
          <w:szCs w:val="20"/>
        </w:rPr>
        <w:br/>
      </w:r>
      <w:r w:rsidRPr="00431A64">
        <w:rPr>
          <w:snapToGrid w:val="0"/>
          <w:color w:val="000000"/>
          <w:sz w:val="20"/>
          <w:szCs w:val="20"/>
        </w:rPr>
        <w:t xml:space="preserve">    </w:t>
      </w:r>
      <w:r>
        <w:rPr>
          <w:snapToGrid w:val="0"/>
          <w:color w:val="000000"/>
          <w:sz w:val="20"/>
          <w:szCs w:val="20"/>
        </w:rPr>
        <w:tab/>
      </w:r>
      <w:r w:rsidRPr="00431A64">
        <w:rPr>
          <w:snapToGrid w:val="0"/>
          <w:color w:val="000000"/>
          <w:sz w:val="20"/>
          <w:szCs w:val="20"/>
        </w:rPr>
        <w:t xml:space="preserve">Jeffery Watson, CPA </w:t>
      </w:r>
      <w:r w:rsidRPr="00431A64">
        <w:rPr>
          <w:snapToGrid w:val="0"/>
          <w:color w:val="000000"/>
          <w:sz w:val="20"/>
          <w:szCs w:val="20"/>
        </w:rPr>
        <w:tab/>
      </w:r>
      <w:r w:rsidRPr="00431A64">
        <w:rPr>
          <w:snapToGrid w:val="0"/>
          <w:color w:val="000000"/>
          <w:sz w:val="20"/>
          <w:szCs w:val="20"/>
        </w:rPr>
        <w:tab/>
      </w:r>
      <w:r>
        <w:rPr>
          <w:snapToGrid w:val="0"/>
          <w:color w:val="000000"/>
          <w:sz w:val="20"/>
          <w:szCs w:val="20"/>
        </w:rPr>
        <w:tab/>
      </w:r>
      <w:r>
        <w:rPr>
          <w:snapToGrid w:val="0"/>
          <w:color w:val="000000"/>
          <w:sz w:val="20"/>
          <w:szCs w:val="20"/>
        </w:rPr>
        <w:tab/>
      </w:r>
      <w:r w:rsidRPr="00431A64">
        <w:rPr>
          <w:bCs/>
          <w:sz w:val="20"/>
          <w:szCs w:val="20"/>
        </w:rPr>
        <w:t>Miller Cooper &amp; Company Ltd</w:t>
      </w:r>
      <w:r w:rsidRPr="00431A64">
        <w:rPr>
          <w:spacing w:val="-3"/>
          <w:sz w:val="20"/>
          <w:szCs w:val="20"/>
        </w:rPr>
        <w:br/>
      </w:r>
      <w:r>
        <w:rPr>
          <w:b/>
          <w:spacing w:val="-3"/>
          <w:sz w:val="20"/>
          <w:szCs w:val="20"/>
        </w:rPr>
        <w:t xml:space="preserve">  </w:t>
      </w:r>
      <w:r w:rsidRPr="00431A64">
        <w:rPr>
          <w:b/>
          <w:spacing w:val="-3"/>
          <w:sz w:val="20"/>
          <w:szCs w:val="20"/>
        </w:rPr>
        <w:t xml:space="preserve">Small: </w:t>
      </w:r>
      <w:r w:rsidRPr="00431A64">
        <w:rPr>
          <w:spacing w:val="-3"/>
          <w:sz w:val="20"/>
          <w:szCs w:val="20"/>
        </w:rPr>
        <w:t>(less than 40 professionals)</w:t>
      </w:r>
      <w:r w:rsidRPr="00431A64">
        <w:rPr>
          <w:spacing w:val="-3"/>
          <w:sz w:val="20"/>
          <w:szCs w:val="20"/>
        </w:rPr>
        <w:br/>
        <w:t xml:space="preserve">     </w:t>
      </w:r>
      <w:r>
        <w:rPr>
          <w:spacing w:val="-3"/>
          <w:sz w:val="20"/>
          <w:szCs w:val="20"/>
        </w:rPr>
        <w:tab/>
      </w:r>
      <w:r w:rsidRPr="00431A64">
        <w:rPr>
          <w:spacing w:val="-3"/>
          <w:sz w:val="20"/>
          <w:szCs w:val="20"/>
        </w:rPr>
        <w:t>Peggy Brady, CPA</w:t>
      </w:r>
      <w:r w:rsidRPr="00431A64">
        <w:rPr>
          <w:spacing w:val="-3"/>
          <w:sz w:val="20"/>
          <w:szCs w:val="20"/>
        </w:rPr>
        <w:tab/>
      </w:r>
      <w:r w:rsidRPr="00431A64">
        <w:rPr>
          <w:spacing w:val="-3"/>
          <w:sz w:val="20"/>
          <w:szCs w:val="20"/>
        </w:rPr>
        <w:tab/>
      </w:r>
      <w:r>
        <w:rPr>
          <w:spacing w:val="-3"/>
          <w:sz w:val="20"/>
          <w:szCs w:val="20"/>
        </w:rPr>
        <w:tab/>
      </w:r>
      <w:r>
        <w:rPr>
          <w:spacing w:val="-3"/>
          <w:sz w:val="20"/>
          <w:szCs w:val="20"/>
        </w:rPr>
        <w:tab/>
      </w:r>
      <w:r w:rsidRPr="00431A64">
        <w:rPr>
          <w:spacing w:val="-3"/>
          <w:sz w:val="20"/>
          <w:szCs w:val="20"/>
        </w:rPr>
        <w:t>Selden Fox, Ltd.</w:t>
      </w:r>
      <w:r w:rsidRPr="00431A64">
        <w:rPr>
          <w:spacing w:val="-3"/>
          <w:sz w:val="20"/>
          <w:szCs w:val="20"/>
        </w:rPr>
        <w:br/>
        <w:t xml:space="preserve">     </w:t>
      </w:r>
      <w:r>
        <w:rPr>
          <w:spacing w:val="-3"/>
          <w:sz w:val="20"/>
          <w:szCs w:val="20"/>
        </w:rPr>
        <w:tab/>
      </w:r>
      <w:r w:rsidRPr="00431A64">
        <w:rPr>
          <w:spacing w:val="-3"/>
          <w:sz w:val="20"/>
          <w:szCs w:val="20"/>
        </w:rPr>
        <w:t xml:space="preserve">Marvin Hoffman, CPA </w:t>
      </w:r>
      <w:r w:rsidRPr="00431A64">
        <w:rPr>
          <w:spacing w:val="-3"/>
          <w:sz w:val="20"/>
          <w:szCs w:val="20"/>
        </w:rPr>
        <w:tab/>
      </w:r>
      <w:r w:rsidRPr="00431A64">
        <w:rPr>
          <w:spacing w:val="-3"/>
          <w:sz w:val="20"/>
          <w:szCs w:val="20"/>
        </w:rPr>
        <w:tab/>
      </w:r>
      <w:r>
        <w:rPr>
          <w:spacing w:val="-3"/>
          <w:sz w:val="20"/>
          <w:szCs w:val="20"/>
        </w:rPr>
        <w:tab/>
      </w:r>
      <w:r w:rsidRPr="00431A64">
        <w:rPr>
          <w:spacing w:val="-3"/>
          <w:sz w:val="20"/>
          <w:szCs w:val="20"/>
        </w:rPr>
        <w:t xml:space="preserve">Bronswick, Reicin, Pollack, Ltd. </w:t>
      </w:r>
      <w:r w:rsidRPr="00431A64">
        <w:rPr>
          <w:spacing w:val="-3"/>
          <w:sz w:val="20"/>
          <w:szCs w:val="20"/>
        </w:rPr>
        <w:br/>
        <w:t xml:space="preserve">     </w:t>
      </w:r>
      <w:r>
        <w:rPr>
          <w:spacing w:val="-3"/>
          <w:sz w:val="20"/>
          <w:szCs w:val="20"/>
        </w:rPr>
        <w:tab/>
      </w:r>
      <w:r w:rsidRPr="00431A64">
        <w:rPr>
          <w:spacing w:val="-3"/>
          <w:sz w:val="20"/>
          <w:szCs w:val="20"/>
        </w:rPr>
        <w:t>Brian Kot, CPA (Vice Chair)</w:t>
      </w:r>
      <w:r w:rsidRPr="00431A64">
        <w:rPr>
          <w:spacing w:val="-3"/>
          <w:sz w:val="20"/>
          <w:szCs w:val="20"/>
        </w:rPr>
        <w:tab/>
      </w:r>
      <w:r w:rsidRPr="00431A64">
        <w:rPr>
          <w:spacing w:val="-3"/>
          <w:sz w:val="20"/>
          <w:szCs w:val="20"/>
        </w:rPr>
        <w:tab/>
      </w:r>
      <w:r>
        <w:rPr>
          <w:spacing w:val="-3"/>
          <w:sz w:val="20"/>
          <w:szCs w:val="20"/>
        </w:rPr>
        <w:tab/>
      </w:r>
      <w:r w:rsidRPr="00431A64">
        <w:rPr>
          <w:spacing w:val="-3"/>
          <w:sz w:val="20"/>
          <w:szCs w:val="20"/>
        </w:rPr>
        <w:t>Cray Kaiser Ltd CPAs</w:t>
      </w:r>
      <w:r w:rsidRPr="00431A64">
        <w:rPr>
          <w:spacing w:val="-3"/>
          <w:sz w:val="20"/>
          <w:szCs w:val="20"/>
        </w:rPr>
        <w:br/>
        <w:t xml:space="preserve">     </w:t>
      </w:r>
      <w:r>
        <w:rPr>
          <w:spacing w:val="-3"/>
          <w:sz w:val="20"/>
          <w:szCs w:val="20"/>
        </w:rPr>
        <w:tab/>
      </w:r>
      <w:r w:rsidRPr="00431A64">
        <w:rPr>
          <w:spacing w:val="-3"/>
          <w:sz w:val="20"/>
          <w:szCs w:val="20"/>
        </w:rPr>
        <w:t>Joshua Lance, CPA</w:t>
      </w:r>
      <w:r w:rsidRPr="00431A64">
        <w:rPr>
          <w:spacing w:val="-3"/>
          <w:sz w:val="20"/>
          <w:szCs w:val="20"/>
        </w:rPr>
        <w:tab/>
      </w:r>
      <w:r>
        <w:rPr>
          <w:spacing w:val="-3"/>
          <w:sz w:val="20"/>
          <w:szCs w:val="20"/>
        </w:rPr>
        <w:t xml:space="preserve">  </w:t>
      </w:r>
      <w:r>
        <w:rPr>
          <w:spacing w:val="-3"/>
          <w:sz w:val="20"/>
          <w:szCs w:val="20"/>
        </w:rPr>
        <w:tab/>
      </w:r>
      <w:r>
        <w:rPr>
          <w:spacing w:val="-3"/>
          <w:sz w:val="20"/>
          <w:szCs w:val="20"/>
        </w:rPr>
        <w:tab/>
      </w:r>
      <w:r>
        <w:rPr>
          <w:spacing w:val="-3"/>
          <w:sz w:val="20"/>
          <w:szCs w:val="20"/>
        </w:rPr>
        <w:tab/>
      </w:r>
      <w:r w:rsidRPr="00431A64">
        <w:rPr>
          <w:sz w:val="20"/>
          <w:szCs w:val="20"/>
        </w:rPr>
        <w:t>Joshua Lance CPA, LLC</w:t>
      </w:r>
    </w:p>
    <w:p w14:paraId="2F4ADA6E" w14:textId="77777777" w:rsidR="00DE5476" w:rsidRPr="00C458D7" w:rsidRDefault="00DE5476" w:rsidP="00DE5476">
      <w:pPr>
        <w:pStyle w:val="NoSpacing"/>
        <w:rPr>
          <w:b/>
          <w:sz w:val="20"/>
          <w:szCs w:val="20"/>
        </w:rPr>
      </w:pPr>
      <w:r w:rsidRPr="00C458D7">
        <w:rPr>
          <w:b/>
          <w:sz w:val="20"/>
          <w:szCs w:val="20"/>
        </w:rPr>
        <w:t>Educators:</w:t>
      </w:r>
    </w:p>
    <w:p w14:paraId="65AA88D9" w14:textId="77777777" w:rsidR="00DE5476" w:rsidRPr="00C458D7" w:rsidRDefault="00DE5476" w:rsidP="00DE5476">
      <w:pPr>
        <w:pStyle w:val="NoSpacing"/>
        <w:tabs>
          <w:tab w:val="left" w:pos="360"/>
        </w:tabs>
        <w:rPr>
          <w:sz w:val="20"/>
          <w:szCs w:val="20"/>
        </w:rPr>
      </w:pPr>
      <w:r>
        <w:rPr>
          <w:sz w:val="20"/>
          <w:szCs w:val="20"/>
        </w:rPr>
        <w:tab/>
      </w:r>
      <w:r w:rsidRPr="00C458D7">
        <w:rPr>
          <w:sz w:val="20"/>
          <w:szCs w:val="20"/>
        </w:rPr>
        <w:t>John Hepp, CPA</w:t>
      </w:r>
      <w:r w:rsidRPr="00C458D7">
        <w:rPr>
          <w:sz w:val="20"/>
          <w:szCs w:val="20"/>
        </w:rPr>
        <w:tab/>
      </w:r>
      <w:r w:rsidRPr="00C458D7">
        <w:rPr>
          <w:sz w:val="20"/>
          <w:szCs w:val="20"/>
        </w:rPr>
        <w:tab/>
      </w:r>
      <w:r>
        <w:rPr>
          <w:sz w:val="20"/>
          <w:szCs w:val="20"/>
        </w:rPr>
        <w:tab/>
      </w:r>
      <w:r>
        <w:rPr>
          <w:sz w:val="20"/>
          <w:szCs w:val="20"/>
        </w:rPr>
        <w:tab/>
      </w:r>
      <w:r w:rsidRPr="00C458D7">
        <w:rPr>
          <w:sz w:val="20"/>
          <w:szCs w:val="20"/>
        </w:rPr>
        <w:t>University of Illinois at Urbana-Champaign</w:t>
      </w:r>
      <w:r w:rsidRPr="00C458D7">
        <w:rPr>
          <w:sz w:val="20"/>
          <w:szCs w:val="20"/>
        </w:rPr>
        <w:tab/>
      </w:r>
      <w:r w:rsidRPr="00C458D7">
        <w:rPr>
          <w:sz w:val="20"/>
          <w:szCs w:val="20"/>
        </w:rPr>
        <w:tab/>
      </w:r>
    </w:p>
    <w:p w14:paraId="5A50D355" w14:textId="77777777" w:rsidR="00DE5476" w:rsidRPr="00C458D7" w:rsidRDefault="00DE5476" w:rsidP="00DE5476">
      <w:pPr>
        <w:pStyle w:val="NoSpacing"/>
        <w:rPr>
          <w:b/>
          <w:sz w:val="20"/>
          <w:szCs w:val="20"/>
        </w:rPr>
      </w:pPr>
      <w:r w:rsidRPr="00C458D7">
        <w:rPr>
          <w:b/>
          <w:sz w:val="20"/>
          <w:szCs w:val="20"/>
        </w:rPr>
        <w:t>Industry:</w:t>
      </w:r>
    </w:p>
    <w:p w14:paraId="69C8504C" w14:textId="77777777" w:rsidR="00DE5476" w:rsidRPr="00C458D7" w:rsidRDefault="00DE5476" w:rsidP="00DE5476">
      <w:pPr>
        <w:pStyle w:val="NoSpacing"/>
        <w:tabs>
          <w:tab w:val="left" w:pos="360"/>
        </w:tabs>
        <w:rPr>
          <w:sz w:val="20"/>
          <w:szCs w:val="20"/>
        </w:rPr>
      </w:pPr>
      <w:r w:rsidRPr="00C458D7">
        <w:rPr>
          <w:sz w:val="20"/>
          <w:szCs w:val="20"/>
        </w:rPr>
        <w:tab/>
        <w:t>Rose Cammarata, CPA</w:t>
      </w:r>
      <w:r w:rsidRPr="00C458D7">
        <w:rPr>
          <w:sz w:val="20"/>
          <w:szCs w:val="20"/>
        </w:rPr>
        <w:tab/>
      </w:r>
      <w:r w:rsidRPr="00C458D7">
        <w:rPr>
          <w:sz w:val="20"/>
          <w:szCs w:val="20"/>
        </w:rPr>
        <w:tab/>
      </w:r>
      <w:r w:rsidRPr="00C458D7">
        <w:rPr>
          <w:sz w:val="20"/>
          <w:szCs w:val="20"/>
        </w:rPr>
        <w:tab/>
        <w:t>Mattersight Corp.</w:t>
      </w:r>
    </w:p>
    <w:p w14:paraId="44BD6D71" w14:textId="77777777" w:rsidR="00DE5476" w:rsidRPr="00C458D7" w:rsidRDefault="00DE5476" w:rsidP="00DE5476">
      <w:pPr>
        <w:pStyle w:val="NoSpacing"/>
        <w:tabs>
          <w:tab w:val="left" w:pos="360"/>
        </w:tabs>
        <w:rPr>
          <w:sz w:val="20"/>
          <w:szCs w:val="20"/>
        </w:rPr>
      </w:pPr>
      <w:r w:rsidRPr="00C458D7">
        <w:rPr>
          <w:sz w:val="20"/>
          <w:szCs w:val="20"/>
        </w:rPr>
        <w:t xml:space="preserve">       Jason Crider, CPA                                                </w:t>
      </w:r>
      <w:r>
        <w:rPr>
          <w:sz w:val="20"/>
          <w:szCs w:val="20"/>
        </w:rPr>
        <w:tab/>
      </w:r>
      <w:r w:rsidRPr="00C458D7">
        <w:rPr>
          <w:sz w:val="20"/>
          <w:szCs w:val="20"/>
        </w:rPr>
        <w:t>Molto Properties LLC</w:t>
      </w:r>
    </w:p>
    <w:p w14:paraId="321C6F3A" w14:textId="77777777" w:rsidR="00DE5476" w:rsidRPr="00C458D7" w:rsidRDefault="00DE5476" w:rsidP="00DE5476">
      <w:pPr>
        <w:pStyle w:val="NoSpacing"/>
        <w:tabs>
          <w:tab w:val="left" w:pos="360"/>
        </w:tabs>
        <w:rPr>
          <w:sz w:val="20"/>
          <w:szCs w:val="20"/>
        </w:rPr>
      </w:pPr>
      <w:r w:rsidRPr="00C458D7">
        <w:rPr>
          <w:sz w:val="20"/>
          <w:szCs w:val="20"/>
        </w:rPr>
        <w:t xml:space="preserve">       Ashlee Earl, CPA</w:t>
      </w:r>
      <w:r w:rsidRPr="00C458D7">
        <w:rPr>
          <w:sz w:val="20"/>
          <w:szCs w:val="20"/>
        </w:rPr>
        <w:tab/>
      </w:r>
      <w:r w:rsidRPr="00C458D7">
        <w:rPr>
          <w:sz w:val="20"/>
          <w:szCs w:val="20"/>
        </w:rPr>
        <w:tab/>
      </w:r>
      <w:r w:rsidRPr="00C458D7">
        <w:rPr>
          <w:sz w:val="20"/>
          <w:szCs w:val="20"/>
        </w:rPr>
        <w:tab/>
      </w:r>
      <w:r>
        <w:rPr>
          <w:sz w:val="20"/>
          <w:szCs w:val="20"/>
        </w:rPr>
        <w:tab/>
      </w:r>
      <w:r w:rsidRPr="00C458D7">
        <w:rPr>
          <w:sz w:val="20"/>
          <w:szCs w:val="20"/>
        </w:rPr>
        <w:t>Consultant</w:t>
      </w:r>
    </w:p>
    <w:p w14:paraId="07E3E27C" w14:textId="77777777" w:rsidR="00DE5476" w:rsidRPr="00C458D7" w:rsidRDefault="00DE5476" w:rsidP="00DE5476">
      <w:pPr>
        <w:pStyle w:val="NoSpacing"/>
        <w:tabs>
          <w:tab w:val="left" w:pos="360"/>
        </w:tabs>
        <w:rPr>
          <w:sz w:val="20"/>
          <w:szCs w:val="20"/>
        </w:rPr>
      </w:pPr>
      <w:r w:rsidRPr="00C458D7">
        <w:rPr>
          <w:sz w:val="20"/>
          <w:szCs w:val="20"/>
        </w:rPr>
        <w:tab/>
        <w:t>Jeffrey Ellis, CPA</w:t>
      </w:r>
      <w:r w:rsidRPr="00C458D7">
        <w:rPr>
          <w:sz w:val="20"/>
          <w:szCs w:val="20"/>
        </w:rPr>
        <w:tab/>
      </w:r>
      <w:r w:rsidRPr="00C458D7">
        <w:rPr>
          <w:sz w:val="20"/>
          <w:szCs w:val="20"/>
        </w:rPr>
        <w:tab/>
      </w:r>
      <w:r w:rsidRPr="00C458D7">
        <w:rPr>
          <w:sz w:val="20"/>
          <w:szCs w:val="20"/>
        </w:rPr>
        <w:tab/>
      </w:r>
      <w:r>
        <w:rPr>
          <w:sz w:val="20"/>
          <w:szCs w:val="20"/>
        </w:rPr>
        <w:tab/>
      </w:r>
      <w:r w:rsidRPr="00C458D7">
        <w:rPr>
          <w:sz w:val="20"/>
          <w:szCs w:val="20"/>
        </w:rPr>
        <w:t xml:space="preserve">FTI Consulting, Inc. </w:t>
      </w:r>
      <w:r w:rsidRPr="00C458D7">
        <w:rPr>
          <w:sz w:val="20"/>
          <w:szCs w:val="20"/>
        </w:rPr>
        <w:tab/>
      </w:r>
    </w:p>
    <w:p w14:paraId="4C745D6D" w14:textId="77777777" w:rsidR="00DE5476" w:rsidRPr="00C458D7" w:rsidRDefault="00DE5476" w:rsidP="00DE5476">
      <w:pPr>
        <w:pStyle w:val="NoSpacing"/>
        <w:tabs>
          <w:tab w:val="left" w:pos="360"/>
        </w:tabs>
        <w:rPr>
          <w:sz w:val="20"/>
          <w:szCs w:val="20"/>
          <w:lang w:val="fr-FR"/>
        </w:rPr>
      </w:pPr>
      <w:r>
        <w:rPr>
          <w:sz w:val="20"/>
          <w:szCs w:val="20"/>
        </w:rPr>
        <w:tab/>
      </w:r>
      <w:r w:rsidRPr="00C458D7">
        <w:rPr>
          <w:sz w:val="20"/>
          <w:szCs w:val="20"/>
        </w:rPr>
        <w:t xml:space="preserve">Adam Karac, CPA                                                 </w:t>
      </w:r>
      <w:r>
        <w:rPr>
          <w:sz w:val="20"/>
          <w:szCs w:val="20"/>
        </w:rPr>
        <w:tab/>
      </w:r>
      <w:r w:rsidRPr="00C458D7">
        <w:rPr>
          <w:sz w:val="20"/>
          <w:szCs w:val="20"/>
        </w:rPr>
        <w:t>Consultant</w:t>
      </w:r>
      <w:r w:rsidRPr="00C458D7">
        <w:rPr>
          <w:sz w:val="20"/>
          <w:szCs w:val="20"/>
          <w:lang w:val="fr-FR"/>
        </w:rPr>
        <w:t xml:space="preserve"> </w:t>
      </w:r>
    </w:p>
    <w:p w14:paraId="27310926" w14:textId="77777777" w:rsidR="00DE5476" w:rsidRPr="00431A64" w:rsidRDefault="00DE5476" w:rsidP="00DE5476">
      <w:pPr>
        <w:tabs>
          <w:tab w:val="left" w:pos="360"/>
        </w:tabs>
        <w:spacing w:after="0"/>
        <w:ind w:left="360"/>
        <w:rPr>
          <w:spacing w:val="-3"/>
          <w:sz w:val="20"/>
          <w:szCs w:val="20"/>
        </w:rPr>
      </w:pPr>
      <w:r w:rsidRPr="00431A64">
        <w:rPr>
          <w:spacing w:val="-3"/>
          <w:sz w:val="20"/>
          <w:szCs w:val="20"/>
          <w:lang w:val="fr-FR"/>
        </w:rPr>
        <w:t>Marianne Lorenz, CPA</w:t>
      </w:r>
      <w:r w:rsidRPr="00431A64">
        <w:rPr>
          <w:spacing w:val="-3"/>
          <w:sz w:val="20"/>
          <w:szCs w:val="20"/>
          <w:lang w:val="fr-FR"/>
        </w:rPr>
        <w:tab/>
      </w:r>
      <w:r w:rsidRPr="00431A64">
        <w:rPr>
          <w:spacing w:val="-3"/>
          <w:sz w:val="20"/>
          <w:szCs w:val="20"/>
          <w:lang w:val="fr-FR"/>
        </w:rPr>
        <w:tab/>
        <w:t xml:space="preserve">             </w:t>
      </w:r>
      <w:r>
        <w:rPr>
          <w:spacing w:val="-3"/>
          <w:sz w:val="20"/>
          <w:szCs w:val="20"/>
          <w:lang w:val="fr-FR"/>
        </w:rPr>
        <w:t xml:space="preserve">  </w:t>
      </w:r>
      <w:r>
        <w:rPr>
          <w:spacing w:val="-3"/>
          <w:sz w:val="20"/>
          <w:szCs w:val="20"/>
          <w:lang w:val="fr-FR"/>
        </w:rPr>
        <w:tab/>
        <w:t>Accenture plc</w:t>
      </w:r>
      <w:r w:rsidRPr="00431A64">
        <w:rPr>
          <w:spacing w:val="-3"/>
          <w:sz w:val="20"/>
          <w:szCs w:val="20"/>
          <w:lang w:val="fr-FR"/>
        </w:rPr>
        <w:br/>
      </w:r>
      <w:r w:rsidRPr="00431A64">
        <w:rPr>
          <w:spacing w:val="-3"/>
          <w:sz w:val="20"/>
          <w:szCs w:val="20"/>
        </w:rPr>
        <w:t>Michael Maffei, CPA</w:t>
      </w:r>
      <w:r w:rsidRPr="00431A64">
        <w:rPr>
          <w:spacing w:val="-3"/>
          <w:sz w:val="20"/>
          <w:szCs w:val="20"/>
        </w:rPr>
        <w:tab/>
        <w:t xml:space="preserve"> </w:t>
      </w:r>
      <w:r w:rsidRPr="00431A64">
        <w:rPr>
          <w:spacing w:val="-3"/>
          <w:sz w:val="20"/>
          <w:szCs w:val="20"/>
        </w:rPr>
        <w:tab/>
      </w:r>
      <w:r w:rsidRPr="00431A64">
        <w:rPr>
          <w:spacing w:val="-3"/>
          <w:sz w:val="20"/>
          <w:szCs w:val="20"/>
        </w:rPr>
        <w:tab/>
        <w:t xml:space="preserve">               </w:t>
      </w:r>
      <w:r w:rsidRPr="00431A64">
        <w:rPr>
          <w:spacing w:val="-3"/>
          <w:sz w:val="20"/>
          <w:szCs w:val="20"/>
        </w:rPr>
        <w:tab/>
        <w:t>GATX Corporation</w:t>
      </w:r>
    </w:p>
    <w:p w14:paraId="1F38B586" w14:textId="77777777" w:rsidR="00DE5476" w:rsidRPr="00431A64" w:rsidRDefault="00DE5476" w:rsidP="00DE5476">
      <w:pPr>
        <w:tabs>
          <w:tab w:val="left" w:pos="360"/>
        </w:tabs>
        <w:spacing w:after="0"/>
        <w:ind w:left="360"/>
        <w:rPr>
          <w:spacing w:val="-3"/>
          <w:sz w:val="20"/>
          <w:szCs w:val="20"/>
        </w:rPr>
      </w:pPr>
      <w:r w:rsidRPr="00431A64">
        <w:rPr>
          <w:spacing w:val="-3"/>
          <w:sz w:val="20"/>
          <w:szCs w:val="20"/>
        </w:rPr>
        <w:t xml:space="preserve">Lawrence Mocadlo, CPA                    </w:t>
      </w:r>
      <w:r>
        <w:rPr>
          <w:spacing w:val="-3"/>
          <w:sz w:val="20"/>
          <w:szCs w:val="20"/>
        </w:rPr>
        <w:t xml:space="preserve">                      </w:t>
      </w:r>
      <w:r w:rsidRPr="00431A64">
        <w:rPr>
          <w:spacing w:val="-3"/>
          <w:sz w:val="20"/>
          <w:szCs w:val="20"/>
        </w:rPr>
        <w:t>Ingersoll Machine Tools</w:t>
      </w:r>
      <w:r w:rsidRPr="00431A64">
        <w:rPr>
          <w:spacing w:val="-3"/>
          <w:sz w:val="20"/>
          <w:szCs w:val="20"/>
        </w:rPr>
        <w:br/>
        <w:t>Richard Tarapchak,</w:t>
      </w:r>
      <w:r>
        <w:rPr>
          <w:spacing w:val="-3"/>
          <w:sz w:val="20"/>
          <w:szCs w:val="20"/>
        </w:rPr>
        <w:t xml:space="preserve"> CPA</w:t>
      </w:r>
      <w:r>
        <w:rPr>
          <w:spacing w:val="-3"/>
          <w:sz w:val="20"/>
          <w:szCs w:val="20"/>
        </w:rPr>
        <w:tab/>
      </w:r>
      <w:r>
        <w:rPr>
          <w:spacing w:val="-3"/>
          <w:sz w:val="20"/>
          <w:szCs w:val="20"/>
        </w:rPr>
        <w:tab/>
        <w:t xml:space="preserve">               </w:t>
      </w:r>
      <w:r w:rsidRPr="00431A64">
        <w:rPr>
          <w:spacing w:val="-3"/>
          <w:sz w:val="20"/>
          <w:szCs w:val="20"/>
        </w:rPr>
        <w:t>Reynolds Group Holdings</w:t>
      </w:r>
    </w:p>
    <w:p w14:paraId="590E6867" w14:textId="18748D3B" w:rsidR="00A82D39" w:rsidRDefault="00DE5476" w:rsidP="00DE5476">
      <w:pPr>
        <w:rPr>
          <w:sz w:val="18"/>
          <w:szCs w:val="18"/>
        </w:rPr>
      </w:pPr>
      <w:r>
        <w:rPr>
          <w:b/>
          <w:sz w:val="20"/>
          <w:szCs w:val="20"/>
        </w:rPr>
        <w:t>S</w:t>
      </w:r>
      <w:r w:rsidRPr="00431A64">
        <w:rPr>
          <w:b/>
          <w:sz w:val="20"/>
          <w:szCs w:val="20"/>
        </w:rPr>
        <w:t>taff Representative:</w:t>
      </w:r>
      <w:r w:rsidRPr="00F330CC">
        <w:rPr>
          <w:sz w:val="20"/>
          <w:szCs w:val="20"/>
        </w:rPr>
        <w:t xml:space="preserve"> </w:t>
      </w:r>
      <w:r w:rsidRPr="00431A64">
        <w:rPr>
          <w:sz w:val="20"/>
          <w:szCs w:val="20"/>
        </w:rPr>
        <w:t>Rafael Wiesenberg, CPA</w:t>
      </w:r>
      <w:r w:rsidRPr="00431A64">
        <w:rPr>
          <w:sz w:val="20"/>
          <w:szCs w:val="20"/>
        </w:rPr>
        <w:tab/>
        <w:t xml:space="preserve">Illinois CPA Society     </w:t>
      </w:r>
    </w:p>
    <w:sectPr w:rsidR="00A82D39" w:rsidSect="0083598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5172A" w14:textId="77777777" w:rsidR="009A52F4" w:rsidRDefault="009A52F4" w:rsidP="00C07D21">
      <w:pPr>
        <w:spacing w:after="0" w:line="240" w:lineRule="auto"/>
      </w:pPr>
      <w:r>
        <w:separator/>
      </w:r>
    </w:p>
  </w:endnote>
  <w:endnote w:type="continuationSeparator" w:id="0">
    <w:p w14:paraId="337017E3" w14:textId="77777777" w:rsidR="009A52F4" w:rsidRDefault="009A52F4"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293793"/>
      <w:docPartObj>
        <w:docPartGallery w:val="Page Numbers (Bottom of Page)"/>
        <w:docPartUnique/>
      </w:docPartObj>
    </w:sdtPr>
    <w:sdtEndPr>
      <w:rPr>
        <w:noProof/>
      </w:rPr>
    </w:sdtEndPr>
    <w:sdtContent>
      <w:p w14:paraId="79E353B1" w14:textId="25A6264F" w:rsidR="00BD7ECB" w:rsidRDefault="00BD7ECB">
        <w:pPr>
          <w:pStyle w:val="Footer"/>
          <w:jc w:val="center"/>
        </w:pPr>
        <w:r>
          <w:fldChar w:fldCharType="begin"/>
        </w:r>
        <w:r>
          <w:instrText xml:space="preserve"> PAGE   \* MERGEFORMAT </w:instrText>
        </w:r>
        <w:r>
          <w:fldChar w:fldCharType="separate"/>
        </w:r>
        <w:r w:rsidR="00120D9C">
          <w:rPr>
            <w:noProof/>
          </w:rPr>
          <w:t>4</w:t>
        </w:r>
        <w:r>
          <w:rPr>
            <w:noProof/>
          </w:rPr>
          <w:fldChar w:fldCharType="end"/>
        </w:r>
      </w:p>
    </w:sdtContent>
  </w:sdt>
  <w:p w14:paraId="210EB5F9" w14:textId="77777777" w:rsidR="00BD7ECB" w:rsidRDefault="00BD7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02866" w14:textId="77777777" w:rsidR="009A52F4" w:rsidRDefault="009A52F4" w:rsidP="00C07D21">
      <w:pPr>
        <w:spacing w:after="0" w:line="240" w:lineRule="auto"/>
      </w:pPr>
      <w:r>
        <w:separator/>
      </w:r>
    </w:p>
  </w:footnote>
  <w:footnote w:type="continuationSeparator" w:id="0">
    <w:p w14:paraId="28764F8B" w14:textId="77777777" w:rsidR="009A52F4" w:rsidRDefault="009A52F4" w:rsidP="00C07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19F9" w14:textId="77777777" w:rsidR="00BD7ECB" w:rsidRDefault="00BD7ECB" w:rsidP="006429B1">
    <w:pPr>
      <w:pStyle w:val="Header"/>
      <w:jc w:val="center"/>
    </w:pPr>
    <w:r>
      <w:rPr>
        <w:noProof/>
      </w:rPr>
      <w:drawing>
        <wp:inline distT="0" distB="0" distL="0" distR="0" wp14:anchorId="38149BBE" wp14:editId="09A79FEB">
          <wp:extent cx="12477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A0A"/>
    <w:multiLevelType w:val="hybridMultilevel"/>
    <w:tmpl w:val="184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DF2D30"/>
    <w:multiLevelType w:val="hybridMultilevel"/>
    <w:tmpl w:val="CF6E5F5A"/>
    <w:lvl w:ilvl="0" w:tplc="CBFE50C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06DE"/>
    <w:multiLevelType w:val="hybridMultilevel"/>
    <w:tmpl w:val="902EE1AC"/>
    <w:lvl w:ilvl="0" w:tplc="8884BECA">
      <w:start w:val="1"/>
      <w:numFmt w:val="decimal"/>
      <w:lvlText w:val="%1."/>
      <w:lvlJc w:val="left"/>
      <w:pPr>
        <w:ind w:left="720" w:hanging="360"/>
      </w:pPr>
      <w:rPr>
        <w:rFonts w:hint="default"/>
        <w: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E2E7F"/>
    <w:multiLevelType w:val="hybridMultilevel"/>
    <w:tmpl w:val="8BB8AF60"/>
    <w:lvl w:ilvl="0" w:tplc="7E10C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856F4"/>
    <w:multiLevelType w:val="hybridMultilevel"/>
    <w:tmpl w:val="9E687686"/>
    <w:lvl w:ilvl="0" w:tplc="95D8176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94FD8"/>
    <w:multiLevelType w:val="hybridMultilevel"/>
    <w:tmpl w:val="05DC4BAE"/>
    <w:lvl w:ilvl="0" w:tplc="0450AE7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A513A8"/>
    <w:multiLevelType w:val="hybridMultilevel"/>
    <w:tmpl w:val="6D60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652D4"/>
    <w:multiLevelType w:val="hybridMultilevel"/>
    <w:tmpl w:val="DB8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E7E29"/>
    <w:multiLevelType w:val="hybridMultilevel"/>
    <w:tmpl w:val="8AD80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5"/>
  </w:num>
  <w:num w:numId="5">
    <w:abstractNumId w:val="7"/>
  </w:num>
  <w:num w:numId="6">
    <w:abstractNumId w:val="1"/>
  </w:num>
  <w:num w:numId="7">
    <w:abstractNumId w:val="6"/>
  </w:num>
  <w:num w:numId="8">
    <w:abstractNumId w:val="4"/>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E1"/>
    <w:rsid w:val="00002C0D"/>
    <w:rsid w:val="00004376"/>
    <w:rsid w:val="0000540A"/>
    <w:rsid w:val="00005A43"/>
    <w:rsid w:val="00006FBB"/>
    <w:rsid w:val="00007C01"/>
    <w:rsid w:val="000142EA"/>
    <w:rsid w:val="00015F5C"/>
    <w:rsid w:val="000165D5"/>
    <w:rsid w:val="000205C5"/>
    <w:rsid w:val="00030982"/>
    <w:rsid w:val="00031802"/>
    <w:rsid w:val="00033CA4"/>
    <w:rsid w:val="000355AD"/>
    <w:rsid w:val="000355CC"/>
    <w:rsid w:val="000357B3"/>
    <w:rsid w:val="00036742"/>
    <w:rsid w:val="000369D7"/>
    <w:rsid w:val="000425EA"/>
    <w:rsid w:val="000428D9"/>
    <w:rsid w:val="00042A30"/>
    <w:rsid w:val="00050D70"/>
    <w:rsid w:val="00052BC9"/>
    <w:rsid w:val="00054099"/>
    <w:rsid w:val="0005517D"/>
    <w:rsid w:val="00060B2D"/>
    <w:rsid w:val="000669A0"/>
    <w:rsid w:val="0007216B"/>
    <w:rsid w:val="0007220D"/>
    <w:rsid w:val="00073542"/>
    <w:rsid w:val="00076F8E"/>
    <w:rsid w:val="00077FF2"/>
    <w:rsid w:val="00082A58"/>
    <w:rsid w:val="00082B02"/>
    <w:rsid w:val="0008440F"/>
    <w:rsid w:val="00085888"/>
    <w:rsid w:val="0009050E"/>
    <w:rsid w:val="000933FE"/>
    <w:rsid w:val="000A093C"/>
    <w:rsid w:val="000A20B1"/>
    <w:rsid w:val="000A3FA9"/>
    <w:rsid w:val="000A44F0"/>
    <w:rsid w:val="000A5BCF"/>
    <w:rsid w:val="000A6B72"/>
    <w:rsid w:val="000B4451"/>
    <w:rsid w:val="000C1399"/>
    <w:rsid w:val="000C3AD7"/>
    <w:rsid w:val="000D1FB3"/>
    <w:rsid w:val="000D2287"/>
    <w:rsid w:val="000D2962"/>
    <w:rsid w:val="000D47BE"/>
    <w:rsid w:val="000D4CFC"/>
    <w:rsid w:val="000D7B0D"/>
    <w:rsid w:val="000E3CD4"/>
    <w:rsid w:val="000E41FE"/>
    <w:rsid w:val="000E55EB"/>
    <w:rsid w:val="000E6AA7"/>
    <w:rsid w:val="000F0804"/>
    <w:rsid w:val="000F4E99"/>
    <w:rsid w:val="000F7F99"/>
    <w:rsid w:val="00107FEC"/>
    <w:rsid w:val="00112C4E"/>
    <w:rsid w:val="0011453E"/>
    <w:rsid w:val="00116708"/>
    <w:rsid w:val="0011726D"/>
    <w:rsid w:val="00117E71"/>
    <w:rsid w:val="00120B3D"/>
    <w:rsid w:val="00120D9C"/>
    <w:rsid w:val="00122BBC"/>
    <w:rsid w:val="00123143"/>
    <w:rsid w:val="001244F3"/>
    <w:rsid w:val="00125EDD"/>
    <w:rsid w:val="00126E1C"/>
    <w:rsid w:val="0012729D"/>
    <w:rsid w:val="00131331"/>
    <w:rsid w:val="0013468E"/>
    <w:rsid w:val="001373FD"/>
    <w:rsid w:val="001410ED"/>
    <w:rsid w:val="00145DFF"/>
    <w:rsid w:val="001476D6"/>
    <w:rsid w:val="00152D26"/>
    <w:rsid w:val="00160608"/>
    <w:rsid w:val="00160853"/>
    <w:rsid w:val="00165D4E"/>
    <w:rsid w:val="0016670E"/>
    <w:rsid w:val="001674EA"/>
    <w:rsid w:val="00170126"/>
    <w:rsid w:val="00171283"/>
    <w:rsid w:val="00171936"/>
    <w:rsid w:val="00171AE3"/>
    <w:rsid w:val="00174285"/>
    <w:rsid w:val="00176186"/>
    <w:rsid w:val="001832B0"/>
    <w:rsid w:val="001855EC"/>
    <w:rsid w:val="001860C0"/>
    <w:rsid w:val="001864B1"/>
    <w:rsid w:val="00186D38"/>
    <w:rsid w:val="001932CA"/>
    <w:rsid w:val="00194472"/>
    <w:rsid w:val="001A02E7"/>
    <w:rsid w:val="001A49DB"/>
    <w:rsid w:val="001A791C"/>
    <w:rsid w:val="001B0429"/>
    <w:rsid w:val="001B105C"/>
    <w:rsid w:val="001B1CF8"/>
    <w:rsid w:val="001B3F79"/>
    <w:rsid w:val="001C06AB"/>
    <w:rsid w:val="001C4781"/>
    <w:rsid w:val="001C6257"/>
    <w:rsid w:val="001D009B"/>
    <w:rsid w:val="001D229D"/>
    <w:rsid w:val="001D3215"/>
    <w:rsid w:val="001D5FBB"/>
    <w:rsid w:val="001D79D0"/>
    <w:rsid w:val="001D79EE"/>
    <w:rsid w:val="001F26CC"/>
    <w:rsid w:val="002033B9"/>
    <w:rsid w:val="00205CF6"/>
    <w:rsid w:val="00210D3B"/>
    <w:rsid w:val="00213866"/>
    <w:rsid w:val="00214696"/>
    <w:rsid w:val="00216DA8"/>
    <w:rsid w:val="00217C14"/>
    <w:rsid w:val="00227C4F"/>
    <w:rsid w:val="00230273"/>
    <w:rsid w:val="00234EB5"/>
    <w:rsid w:val="002377DA"/>
    <w:rsid w:val="0024269F"/>
    <w:rsid w:val="00242C6C"/>
    <w:rsid w:val="002437EC"/>
    <w:rsid w:val="0024624C"/>
    <w:rsid w:val="00246E3D"/>
    <w:rsid w:val="002537CF"/>
    <w:rsid w:val="00254FFE"/>
    <w:rsid w:val="00255A87"/>
    <w:rsid w:val="002631AA"/>
    <w:rsid w:val="0026355B"/>
    <w:rsid w:val="00265659"/>
    <w:rsid w:val="00265C19"/>
    <w:rsid w:val="00267ACA"/>
    <w:rsid w:val="00270D5D"/>
    <w:rsid w:val="002807D0"/>
    <w:rsid w:val="002825B4"/>
    <w:rsid w:val="002853F7"/>
    <w:rsid w:val="00285F1C"/>
    <w:rsid w:val="00291411"/>
    <w:rsid w:val="00291510"/>
    <w:rsid w:val="00292017"/>
    <w:rsid w:val="00294DC8"/>
    <w:rsid w:val="00294F5A"/>
    <w:rsid w:val="00296D5A"/>
    <w:rsid w:val="00297FAC"/>
    <w:rsid w:val="002A0322"/>
    <w:rsid w:val="002A0976"/>
    <w:rsid w:val="002A29B2"/>
    <w:rsid w:val="002A2A66"/>
    <w:rsid w:val="002A57B5"/>
    <w:rsid w:val="002A6821"/>
    <w:rsid w:val="002A7DE1"/>
    <w:rsid w:val="002B1447"/>
    <w:rsid w:val="002B3F2F"/>
    <w:rsid w:val="002B686F"/>
    <w:rsid w:val="002B725D"/>
    <w:rsid w:val="002C0FD7"/>
    <w:rsid w:val="002C1FB8"/>
    <w:rsid w:val="002C4712"/>
    <w:rsid w:val="002C4993"/>
    <w:rsid w:val="002C5D0E"/>
    <w:rsid w:val="002C5F65"/>
    <w:rsid w:val="002C690C"/>
    <w:rsid w:val="002D1AA9"/>
    <w:rsid w:val="002D5740"/>
    <w:rsid w:val="002D74CA"/>
    <w:rsid w:val="002D7F15"/>
    <w:rsid w:val="002E285D"/>
    <w:rsid w:val="002E70AB"/>
    <w:rsid w:val="002F1C78"/>
    <w:rsid w:val="002F4DA8"/>
    <w:rsid w:val="002F57E5"/>
    <w:rsid w:val="002F640C"/>
    <w:rsid w:val="002F69AD"/>
    <w:rsid w:val="0030193A"/>
    <w:rsid w:val="00303381"/>
    <w:rsid w:val="003033B8"/>
    <w:rsid w:val="0030432E"/>
    <w:rsid w:val="003065C7"/>
    <w:rsid w:val="003144A1"/>
    <w:rsid w:val="00314828"/>
    <w:rsid w:val="00315FBB"/>
    <w:rsid w:val="00316CB2"/>
    <w:rsid w:val="00320473"/>
    <w:rsid w:val="00321BBD"/>
    <w:rsid w:val="00341352"/>
    <w:rsid w:val="00341D0A"/>
    <w:rsid w:val="00344E59"/>
    <w:rsid w:val="003458FA"/>
    <w:rsid w:val="00347085"/>
    <w:rsid w:val="00347677"/>
    <w:rsid w:val="00347B8D"/>
    <w:rsid w:val="0035106E"/>
    <w:rsid w:val="00353E39"/>
    <w:rsid w:val="003543C5"/>
    <w:rsid w:val="00357C92"/>
    <w:rsid w:val="00371E04"/>
    <w:rsid w:val="00376379"/>
    <w:rsid w:val="00377B7B"/>
    <w:rsid w:val="00380A7A"/>
    <w:rsid w:val="003814B4"/>
    <w:rsid w:val="00383D03"/>
    <w:rsid w:val="00383F6D"/>
    <w:rsid w:val="00387C98"/>
    <w:rsid w:val="0039097F"/>
    <w:rsid w:val="00392C39"/>
    <w:rsid w:val="00392D06"/>
    <w:rsid w:val="003960BD"/>
    <w:rsid w:val="003A0467"/>
    <w:rsid w:val="003A07AE"/>
    <w:rsid w:val="003A53E2"/>
    <w:rsid w:val="003A7E3A"/>
    <w:rsid w:val="003B06E2"/>
    <w:rsid w:val="003C0300"/>
    <w:rsid w:val="003C071F"/>
    <w:rsid w:val="003C3F61"/>
    <w:rsid w:val="003C568A"/>
    <w:rsid w:val="003C774E"/>
    <w:rsid w:val="003C7BD9"/>
    <w:rsid w:val="003D2B85"/>
    <w:rsid w:val="003D44A5"/>
    <w:rsid w:val="003D4BFC"/>
    <w:rsid w:val="003E19B3"/>
    <w:rsid w:val="003E6D96"/>
    <w:rsid w:val="003F17CA"/>
    <w:rsid w:val="003F2057"/>
    <w:rsid w:val="003F2DB1"/>
    <w:rsid w:val="003F3CCF"/>
    <w:rsid w:val="003F63B5"/>
    <w:rsid w:val="004007E7"/>
    <w:rsid w:val="00403D79"/>
    <w:rsid w:val="00407C2F"/>
    <w:rsid w:val="00415EC8"/>
    <w:rsid w:val="0041714B"/>
    <w:rsid w:val="004218FF"/>
    <w:rsid w:val="00425ACC"/>
    <w:rsid w:val="0043764D"/>
    <w:rsid w:val="00437DC4"/>
    <w:rsid w:val="00440186"/>
    <w:rsid w:val="00443E9E"/>
    <w:rsid w:val="00452EDD"/>
    <w:rsid w:val="00453EAA"/>
    <w:rsid w:val="00455A3C"/>
    <w:rsid w:val="00456248"/>
    <w:rsid w:val="00456BED"/>
    <w:rsid w:val="0046173A"/>
    <w:rsid w:val="004653E5"/>
    <w:rsid w:val="00467028"/>
    <w:rsid w:val="00473B4A"/>
    <w:rsid w:val="00476BC9"/>
    <w:rsid w:val="00482C0E"/>
    <w:rsid w:val="00483CC0"/>
    <w:rsid w:val="004843CB"/>
    <w:rsid w:val="004857F4"/>
    <w:rsid w:val="004878C9"/>
    <w:rsid w:val="004952E0"/>
    <w:rsid w:val="004A0380"/>
    <w:rsid w:val="004A2D3A"/>
    <w:rsid w:val="004A614C"/>
    <w:rsid w:val="004B24F6"/>
    <w:rsid w:val="004B52D3"/>
    <w:rsid w:val="004C1A16"/>
    <w:rsid w:val="004C2DCA"/>
    <w:rsid w:val="004C3681"/>
    <w:rsid w:val="004C7977"/>
    <w:rsid w:val="004C7C02"/>
    <w:rsid w:val="004D0B2F"/>
    <w:rsid w:val="004D1C90"/>
    <w:rsid w:val="004D3643"/>
    <w:rsid w:val="004D587C"/>
    <w:rsid w:val="004D6862"/>
    <w:rsid w:val="004D7F3E"/>
    <w:rsid w:val="004E2126"/>
    <w:rsid w:val="004E2E28"/>
    <w:rsid w:val="004E4BAA"/>
    <w:rsid w:val="004E4E3E"/>
    <w:rsid w:val="004E7B18"/>
    <w:rsid w:val="00503B6B"/>
    <w:rsid w:val="005069E0"/>
    <w:rsid w:val="00512916"/>
    <w:rsid w:val="00515C4D"/>
    <w:rsid w:val="00517FA2"/>
    <w:rsid w:val="005226CD"/>
    <w:rsid w:val="005229F1"/>
    <w:rsid w:val="00522CA3"/>
    <w:rsid w:val="00523330"/>
    <w:rsid w:val="005251D7"/>
    <w:rsid w:val="00526D3A"/>
    <w:rsid w:val="00527D66"/>
    <w:rsid w:val="00543E5E"/>
    <w:rsid w:val="00553D03"/>
    <w:rsid w:val="00554979"/>
    <w:rsid w:val="00556943"/>
    <w:rsid w:val="00565C7C"/>
    <w:rsid w:val="00572D60"/>
    <w:rsid w:val="00572F95"/>
    <w:rsid w:val="0057628A"/>
    <w:rsid w:val="0058019E"/>
    <w:rsid w:val="00580524"/>
    <w:rsid w:val="00582667"/>
    <w:rsid w:val="00590E71"/>
    <w:rsid w:val="00593157"/>
    <w:rsid w:val="00594184"/>
    <w:rsid w:val="00594BD8"/>
    <w:rsid w:val="00595E2C"/>
    <w:rsid w:val="005969E2"/>
    <w:rsid w:val="00596D36"/>
    <w:rsid w:val="005A168C"/>
    <w:rsid w:val="005B06BF"/>
    <w:rsid w:val="005B0949"/>
    <w:rsid w:val="005B2447"/>
    <w:rsid w:val="005B5BDF"/>
    <w:rsid w:val="005B695E"/>
    <w:rsid w:val="005C148C"/>
    <w:rsid w:val="005C2DB4"/>
    <w:rsid w:val="005C629B"/>
    <w:rsid w:val="005C74AA"/>
    <w:rsid w:val="005D0E47"/>
    <w:rsid w:val="005D1F31"/>
    <w:rsid w:val="005D3892"/>
    <w:rsid w:val="005D6CBB"/>
    <w:rsid w:val="005D7AD3"/>
    <w:rsid w:val="005E0C54"/>
    <w:rsid w:val="005E2667"/>
    <w:rsid w:val="005F25C8"/>
    <w:rsid w:val="005F3210"/>
    <w:rsid w:val="005F434F"/>
    <w:rsid w:val="00600552"/>
    <w:rsid w:val="006063A7"/>
    <w:rsid w:val="00607BE2"/>
    <w:rsid w:val="006107EA"/>
    <w:rsid w:val="00621795"/>
    <w:rsid w:val="00623199"/>
    <w:rsid w:val="00623CDA"/>
    <w:rsid w:val="00631F9E"/>
    <w:rsid w:val="00633DD6"/>
    <w:rsid w:val="006429B1"/>
    <w:rsid w:val="006466A3"/>
    <w:rsid w:val="006534C8"/>
    <w:rsid w:val="00656D0E"/>
    <w:rsid w:val="00660DD9"/>
    <w:rsid w:val="00660FAA"/>
    <w:rsid w:val="00665526"/>
    <w:rsid w:val="00671140"/>
    <w:rsid w:val="00675508"/>
    <w:rsid w:val="00677BD2"/>
    <w:rsid w:val="00682D9C"/>
    <w:rsid w:val="00684637"/>
    <w:rsid w:val="00686600"/>
    <w:rsid w:val="00695769"/>
    <w:rsid w:val="0069581C"/>
    <w:rsid w:val="006A1311"/>
    <w:rsid w:val="006A4E9F"/>
    <w:rsid w:val="006B0335"/>
    <w:rsid w:val="006B63FE"/>
    <w:rsid w:val="006B6654"/>
    <w:rsid w:val="006B75C6"/>
    <w:rsid w:val="006C1B4A"/>
    <w:rsid w:val="006C394A"/>
    <w:rsid w:val="006D4657"/>
    <w:rsid w:val="006D62AB"/>
    <w:rsid w:val="006D7FE5"/>
    <w:rsid w:val="006E04FA"/>
    <w:rsid w:val="006E5A23"/>
    <w:rsid w:val="006E7763"/>
    <w:rsid w:val="006F1EF9"/>
    <w:rsid w:val="006F4236"/>
    <w:rsid w:val="006F47C1"/>
    <w:rsid w:val="006F5863"/>
    <w:rsid w:val="00704973"/>
    <w:rsid w:val="00705AB5"/>
    <w:rsid w:val="00705E17"/>
    <w:rsid w:val="00712B14"/>
    <w:rsid w:val="007146CF"/>
    <w:rsid w:val="00714F6A"/>
    <w:rsid w:val="00723E93"/>
    <w:rsid w:val="00724C0A"/>
    <w:rsid w:val="007264C5"/>
    <w:rsid w:val="00726BD8"/>
    <w:rsid w:val="00727F73"/>
    <w:rsid w:val="007368CD"/>
    <w:rsid w:val="00740297"/>
    <w:rsid w:val="00741C9F"/>
    <w:rsid w:val="00751A61"/>
    <w:rsid w:val="00753A96"/>
    <w:rsid w:val="0076105E"/>
    <w:rsid w:val="007615EB"/>
    <w:rsid w:val="007718DC"/>
    <w:rsid w:val="00771C0D"/>
    <w:rsid w:val="00772526"/>
    <w:rsid w:val="00773E11"/>
    <w:rsid w:val="007751A7"/>
    <w:rsid w:val="00775707"/>
    <w:rsid w:val="0077651D"/>
    <w:rsid w:val="0078296B"/>
    <w:rsid w:val="00783CD4"/>
    <w:rsid w:val="00790B4A"/>
    <w:rsid w:val="00792D30"/>
    <w:rsid w:val="00795625"/>
    <w:rsid w:val="00796D94"/>
    <w:rsid w:val="007B3768"/>
    <w:rsid w:val="007B4E45"/>
    <w:rsid w:val="007B669A"/>
    <w:rsid w:val="007C2442"/>
    <w:rsid w:val="007C532D"/>
    <w:rsid w:val="007D7145"/>
    <w:rsid w:val="007E0253"/>
    <w:rsid w:val="007E089F"/>
    <w:rsid w:val="007E3EA5"/>
    <w:rsid w:val="007E4BEC"/>
    <w:rsid w:val="007F085C"/>
    <w:rsid w:val="007F179E"/>
    <w:rsid w:val="007F305D"/>
    <w:rsid w:val="007F550E"/>
    <w:rsid w:val="007F66DC"/>
    <w:rsid w:val="007F71ED"/>
    <w:rsid w:val="00800A06"/>
    <w:rsid w:val="008023E1"/>
    <w:rsid w:val="0081098D"/>
    <w:rsid w:val="008165E6"/>
    <w:rsid w:val="008177D6"/>
    <w:rsid w:val="008214BD"/>
    <w:rsid w:val="008275E1"/>
    <w:rsid w:val="00830F25"/>
    <w:rsid w:val="008310B9"/>
    <w:rsid w:val="00837848"/>
    <w:rsid w:val="00847084"/>
    <w:rsid w:val="008472CA"/>
    <w:rsid w:val="008501D1"/>
    <w:rsid w:val="00855F73"/>
    <w:rsid w:val="00856E14"/>
    <w:rsid w:val="0086192F"/>
    <w:rsid w:val="00865BBD"/>
    <w:rsid w:val="00867AD3"/>
    <w:rsid w:val="008727CA"/>
    <w:rsid w:val="00874581"/>
    <w:rsid w:val="00875639"/>
    <w:rsid w:val="00875915"/>
    <w:rsid w:val="00876585"/>
    <w:rsid w:val="00876F8E"/>
    <w:rsid w:val="00884C26"/>
    <w:rsid w:val="008856F7"/>
    <w:rsid w:val="0088592C"/>
    <w:rsid w:val="00890128"/>
    <w:rsid w:val="00892EC6"/>
    <w:rsid w:val="008A185B"/>
    <w:rsid w:val="008A2CCE"/>
    <w:rsid w:val="008A4429"/>
    <w:rsid w:val="008A50C5"/>
    <w:rsid w:val="008A7766"/>
    <w:rsid w:val="008A791F"/>
    <w:rsid w:val="008A7A30"/>
    <w:rsid w:val="008B139C"/>
    <w:rsid w:val="008B4D87"/>
    <w:rsid w:val="008B5CDC"/>
    <w:rsid w:val="008B5F91"/>
    <w:rsid w:val="008B6B1F"/>
    <w:rsid w:val="008C0171"/>
    <w:rsid w:val="008C0283"/>
    <w:rsid w:val="008C6566"/>
    <w:rsid w:val="008C6A43"/>
    <w:rsid w:val="008C7470"/>
    <w:rsid w:val="008D14B3"/>
    <w:rsid w:val="008D3986"/>
    <w:rsid w:val="008D6906"/>
    <w:rsid w:val="008E05F5"/>
    <w:rsid w:val="008E3169"/>
    <w:rsid w:val="008E5DC1"/>
    <w:rsid w:val="008F1D9E"/>
    <w:rsid w:val="008F22C6"/>
    <w:rsid w:val="008F24DE"/>
    <w:rsid w:val="008F7475"/>
    <w:rsid w:val="00900AB6"/>
    <w:rsid w:val="00903C60"/>
    <w:rsid w:val="00913F17"/>
    <w:rsid w:val="009140A0"/>
    <w:rsid w:val="0092153D"/>
    <w:rsid w:val="009215EE"/>
    <w:rsid w:val="00924523"/>
    <w:rsid w:val="00934239"/>
    <w:rsid w:val="00946781"/>
    <w:rsid w:val="009473D4"/>
    <w:rsid w:val="00951C77"/>
    <w:rsid w:val="00951EDF"/>
    <w:rsid w:val="009538E7"/>
    <w:rsid w:val="0095466A"/>
    <w:rsid w:val="00956256"/>
    <w:rsid w:val="00957E87"/>
    <w:rsid w:val="009644DE"/>
    <w:rsid w:val="00965896"/>
    <w:rsid w:val="00966AF7"/>
    <w:rsid w:val="00971141"/>
    <w:rsid w:val="0097339A"/>
    <w:rsid w:val="0098264F"/>
    <w:rsid w:val="00983052"/>
    <w:rsid w:val="009848C2"/>
    <w:rsid w:val="00986DB0"/>
    <w:rsid w:val="00990817"/>
    <w:rsid w:val="00990CFB"/>
    <w:rsid w:val="00994011"/>
    <w:rsid w:val="009A47D0"/>
    <w:rsid w:val="009A52F4"/>
    <w:rsid w:val="009B006B"/>
    <w:rsid w:val="009B1BFB"/>
    <w:rsid w:val="009B660D"/>
    <w:rsid w:val="009B6AC7"/>
    <w:rsid w:val="009C0252"/>
    <w:rsid w:val="009C3023"/>
    <w:rsid w:val="009C312C"/>
    <w:rsid w:val="009C40D2"/>
    <w:rsid w:val="009C59A8"/>
    <w:rsid w:val="009C69E9"/>
    <w:rsid w:val="009D0924"/>
    <w:rsid w:val="009D1524"/>
    <w:rsid w:val="009D4012"/>
    <w:rsid w:val="009D7B6D"/>
    <w:rsid w:val="009D7CBA"/>
    <w:rsid w:val="009E263F"/>
    <w:rsid w:val="009E4B3D"/>
    <w:rsid w:val="009F24C6"/>
    <w:rsid w:val="009F40B0"/>
    <w:rsid w:val="009F594A"/>
    <w:rsid w:val="00A0211C"/>
    <w:rsid w:val="00A0478B"/>
    <w:rsid w:val="00A0481E"/>
    <w:rsid w:val="00A06707"/>
    <w:rsid w:val="00A07539"/>
    <w:rsid w:val="00A13609"/>
    <w:rsid w:val="00A1458A"/>
    <w:rsid w:val="00A147F9"/>
    <w:rsid w:val="00A222C8"/>
    <w:rsid w:val="00A22B0B"/>
    <w:rsid w:val="00A23218"/>
    <w:rsid w:val="00A2597D"/>
    <w:rsid w:val="00A441B0"/>
    <w:rsid w:val="00A501A7"/>
    <w:rsid w:val="00A51967"/>
    <w:rsid w:val="00A577BC"/>
    <w:rsid w:val="00A600AE"/>
    <w:rsid w:val="00A61EF8"/>
    <w:rsid w:val="00A67DA6"/>
    <w:rsid w:val="00A70655"/>
    <w:rsid w:val="00A738BE"/>
    <w:rsid w:val="00A757C6"/>
    <w:rsid w:val="00A778A2"/>
    <w:rsid w:val="00A82D01"/>
    <w:rsid w:val="00A82D39"/>
    <w:rsid w:val="00A84EC1"/>
    <w:rsid w:val="00A8626B"/>
    <w:rsid w:val="00A919C6"/>
    <w:rsid w:val="00A9382B"/>
    <w:rsid w:val="00A94D81"/>
    <w:rsid w:val="00AA1ED3"/>
    <w:rsid w:val="00AB0D35"/>
    <w:rsid w:val="00AB2BDE"/>
    <w:rsid w:val="00AB3D17"/>
    <w:rsid w:val="00AB675A"/>
    <w:rsid w:val="00AC0038"/>
    <w:rsid w:val="00AC089B"/>
    <w:rsid w:val="00AC15BE"/>
    <w:rsid w:val="00AC4F4B"/>
    <w:rsid w:val="00AC6BBF"/>
    <w:rsid w:val="00AC7E85"/>
    <w:rsid w:val="00AD1FD1"/>
    <w:rsid w:val="00AD27F4"/>
    <w:rsid w:val="00AD359F"/>
    <w:rsid w:val="00AD3E92"/>
    <w:rsid w:val="00AD4A3D"/>
    <w:rsid w:val="00AE1A72"/>
    <w:rsid w:val="00AF35EB"/>
    <w:rsid w:val="00AF45C5"/>
    <w:rsid w:val="00AF4BC0"/>
    <w:rsid w:val="00AF7416"/>
    <w:rsid w:val="00B0044E"/>
    <w:rsid w:val="00B01580"/>
    <w:rsid w:val="00B03ACE"/>
    <w:rsid w:val="00B068D6"/>
    <w:rsid w:val="00B10704"/>
    <w:rsid w:val="00B20EE2"/>
    <w:rsid w:val="00B22EDA"/>
    <w:rsid w:val="00B2433B"/>
    <w:rsid w:val="00B33625"/>
    <w:rsid w:val="00B35C88"/>
    <w:rsid w:val="00B43E6A"/>
    <w:rsid w:val="00B44B7E"/>
    <w:rsid w:val="00B45AD5"/>
    <w:rsid w:val="00B523E9"/>
    <w:rsid w:val="00B53A15"/>
    <w:rsid w:val="00B555B9"/>
    <w:rsid w:val="00B57DDA"/>
    <w:rsid w:val="00B612E5"/>
    <w:rsid w:val="00B61C2B"/>
    <w:rsid w:val="00B6255A"/>
    <w:rsid w:val="00B63503"/>
    <w:rsid w:val="00B669C5"/>
    <w:rsid w:val="00B705BE"/>
    <w:rsid w:val="00B85463"/>
    <w:rsid w:val="00B873A6"/>
    <w:rsid w:val="00B87A76"/>
    <w:rsid w:val="00B87F40"/>
    <w:rsid w:val="00B909E9"/>
    <w:rsid w:val="00B91204"/>
    <w:rsid w:val="00B917EE"/>
    <w:rsid w:val="00B94FCE"/>
    <w:rsid w:val="00B95DD0"/>
    <w:rsid w:val="00B96790"/>
    <w:rsid w:val="00BA05C8"/>
    <w:rsid w:val="00BA2D12"/>
    <w:rsid w:val="00BA2F54"/>
    <w:rsid w:val="00BA4690"/>
    <w:rsid w:val="00BA62C5"/>
    <w:rsid w:val="00BB2CA4"/>
    <w:rsid w:val="00BB41E4"/>
    <w:rsid w:val="00BB53A1"/>
    <w:rsid w:val="00BB6ACE"/>
    <w:rsid w:val="00BB6BCB"/>
    <w:rsid w:val="00BB6C4C"/>
    <w:rsid w:val="00BB78D9"/>
    <w:rsid w:val="00BC1850"/>
    <w:rsid w:val="00BC276F"/>
    <w:rsid w:val="00BC32E7"/>
    <w:rsid w:val="00BC3E2D"/>
    <w:rsid w:val="00BC78D5"/>
    <w:rsid w:val="00BD01A3"/>
    <w:rsid w:val="00BD7ECB"/>
    <w:rsid w:val="00BE21F8"/>
    <w:rsid w:val="00BE4AD4"/>
    <w:rsid w:val="00BE64FA"/>
    <w:rsid w:val="00BF0179"/>
    <w:rsid w:val="00BF1792"/>
    <w:rsid w:val="00BF59AD"/>
    <w:rsid w:val="00C00EBB"/>
    <w:rsid w:val="00C034F1"/>
    <w:rsid w:val="00C03FBA"/>
    <w:rsid w:val="00C07D21"/>
    <w:rsid w:val="00C11D6A"/>
    <w:rsid w:val="00C137C4"/>
    <w:rsid w:val="00C161F9"/>
    <w:rsid w:val="00C17708"/>
    <w:rsid w:val="00C22334"/>
    <w:rsid w:val="00C2233B"/>
    <w:rsid w:val="00C24F5E"/>
    <w:rsid w:val="00C26C07"/>
    <w:rsid w:val="00C3297F"/>
    <w:rsid w:val="00C35C9A"/>
    <w:rsid w:val="00C3656C"/>
    <w:rsid w:val="00C36E73"/>
    <w:rsid w:val="00C37049"/>
    <w:rsid w:val="00C40B2D"/>
    <w:rsid w:val="00C41DED"/>
    <w:rsid w:val="00C42AC6"/>
    <w:rsid w:val="00C43AB1"/>
    <w:rsid w:val="00C45C27"/>
    <w:rsid w:val="00C52192"/>
    <w:rsid w:val="00C52BBA"/>
    <w:rsid w:val="00C5619A"/>
    <w:rsid w:val="00C6020D"/>
    <w:rsid w:val="00C60DB6"/>
    <w:rsid w:val="00C673C8"/>
    <w:rsid w:val="00C67D90"/>
    <w:rsid w:val="00C67E1C"/>
    <w:rsid w:val="00C74FDB"/>
    <w:rsid w:val="00C76EC5"/>
    <w:rsid w:val="00C7731D"/>
    <w:rsid w:val="00C82B4C"/>
    <w:rsid w:val="00C83DF6"/>
    <w:rsid w:val="00C841F2"/>
    <w:rsid w:val="00C859FB"/>
    <w:rsid w:val="00C90EFC"/>
    <w:rsid w:val="00C92E8E"/>
    <w:rsid w:val="00CA064B"/>
    <w:rsid w:val="00CA36BC"/>
    <w:rsid w:val="00CA4AF7"/>
    <w:rsid w:val="00CB0DE8"/>
    <w:rsid w:val="00CB2D15"/>
    <w:rsid w:val="00CB7CEE"/>
    <w:rsid w:val="00CB7E8D"/>
    <w:rsid w:val="00CC1139"/>
    <w:rsid w:val="00CC2998"/>
    <w:rsid w:val="00CC451A"/>
    <w:rsid w:val="00CD1710"/>
    <w:rsid w:val="00CD281E"/>
    <w:rsid w:val="00CD798D"/>
    <w:rsid w:val="00CE1025"/>
    <w:rsid w:val="00CE3122"/>
    <w:rsid w:val="00CF1A23"/>
    <w:rsid w:val="00D17B17"/>
    <w:rsid w:val="00D30696"/>
    <w:rsid w:val="00D416E9"/>
    <w:rsid w:val="00D43CA0"/>
    <w:rsid w:val="00D453B1"/>
    <w:rsid w:val="00D53CE5"/>
    <w:rsid w:val="00D54FED"/>
    <w:rsid w:val="00D60533"/>
    <w:rsid w:val="00D62BFB"/>
    <w:rsid w:val="00D6721D"/>
    <w:rsid w:val="00D67BFE"/>
    <w:rsid w:val="00D72765"/>
    <w:rsid w:val="00D9389C"/>
    <w:rsid w:val="00D97561"/>
    <w:rsid w:val="00D97AB6"/>
    <w:rsid w:val="00DA2048"/>
    <w:rsid w:val="00DA259B"/>
    <w:rsid w:val="00DA5FC3"/>
    <w:rsid w:val="00DA674E"/>
    <w:rsid w:val="00DA799F"/>
    <w:rsid w:val="00DB3460"/>
    <w:rsid w:val="00DB466C"/>
    <w:rsid w:val="00DB71A3"/>
    <w:rsid w:val="00DC13A0"/>
    <w:rsid w:val="00DC1D5C"/>
    <w:rsid w:val="00DC7B5D"/>
    <w:rsid w:val="00DD54A8"/>
    <w:rsid w:val="00DE33AD"/>
    <w:rsid w:val="00DE45D7"/>
    <w:rsid w:val="00DE5476"/>
    <w:rsid w:val="00DE6BF9"/>
    <w:rsid w:val="00DE6F3F"/>
    <w:rsid w:val="00DE7FD5"/>
    <w:rsid w:val="00DF124E"/>
    <w:rsid w:val="00DF223C"/>
    <w:rsid w:val="00DF6653"/>
    <w:rsid w:val="00DF74E5"/>
    <w:rsid w:val="00E038FB"/>
    <w:rsid w:val="00E05134"/>
    <w:rsid w:val="00E1043D"/>
    <w:rsid w:val="00E105EC"/>
    <w:rsid w:val="00E10759"/>
    <w:rsid w:val="00E11569"/>
    <w:rsid w:val="00E3067E"/>
    <w:rsid w:val="00E32045"/>
    <w:rsid w:val="00E32D36"/>
    <w:rsid w:val="00E351C7"/>
    <w:rsid w:val="00E36A30"/>
    <w:rsid w:val="00E413A9"/>
    <w:rsid w:val="00E420ED"/>
    <w:rsid w:val="00E4460E"/>
    <w:rsid w:val="00E45165"/>
    <w:rsid w:val="00E57852"/>
    <w:rsid w:val="00E60C98"/>
    <w:rsid w:val="00E635CE"/>
    <w:rsid w:val="00E661E7"/>
    <w:rsid w:val="00E70962"/>
    <w:rsid w:val="00E71F0A"/>
    <w:rsid w:val="00E72801"/>
    <w:rsid w:val="00E7306C"/>
    <w:rsid w:val="00E756D4"/>
    <w:rsid w:val="00E772EC"/>
    <w:rsid w:val="00E81E50"/>
    <w:rsid w:val="00E82E8E"/>
    <w:rsid w:val="00E845C2"/>
    <w:rsid w:val="00E94A79"/>
    <w:rsid w:val="00E95ACF"/>
    <w:rsid w:val="00E96254"/>
    <w:rsid w:val="00EB066D"/>
    <w:rsid w:val="00EB08A7"/>
    <w:rsid w:val="00EB2335"/>
    <w:rsid w:val="00EB4F4B"/>
    <w:rsid w:val="00EC0944"/>
    <w:rsid w:val="00EC7B4A"/>
    <w:rsid w:val="00ED0E21"/>
    <w:rsid w:val="00ED37A4"/>
    <w:rsid w:val="00ED3B04"/>
    <w:rsid w:val="00ED3E20"/>
    <w:rsid w:val="00EE5591"/>
    <w:rsid w:val="00EE5D4F"/>
    <w:rsid w:val="00EE7C56"/>
    <w:rsid w:val="00EF293E"/>
    <w:rsid w:val="00EF2EC1"/>
    <w:rsid w:val="00EF4122"/>
    <w:rsid w:val="00F011A6"/>
    <w:rsid w:val="00F020C2"/>
    <w:rsid w:val="00F03575"/>
    <w:rsid w:val="00F03D74"/>
    <w:rsid w:val="00F03D77"/>
    <w:rsid w:val="00F04D24"/>
    <w:rsid w:val="00F06A80"/>
    <w:rsid w:val="00F10AA4"/>
    <w:rsid w:val="00F13D27"/>
    <w:rsid w:val="00F1430E"/>
    <w:rsid w:val="00F16034"/>
    <w:rsid w:val="00F2312C"/>
    <w:rsid w:val="00F25567"/>
    <w:rsid w:val="00F32416"/>
    <w:rsid w:val="00F32F6B"/>
    <w:rsid w:val="00F34AA0"/>
    <w:rsid w:val="00F34C85"/>
    <w:rsid w:val="00F35E78"/>
    <w:rsid w:val="00F37998"/>
    <w:rsid w:val="00F37B3B"/>
    <w:rsid w:val="00F42857"/>
    <w:rsid w:val="00F4471E"/>
    <w:rsid w:val="00F45E01"/>
    <w:rsid w:val="00F47FAC"/>
    <w:rsid w:val="00F520E5"/>
    <w:rsid w:val="00F52AB4"/>
    <w:rsid w:val="00F5366F"/>
    <w:rsid w:val="00F54F28"/>
    <w:rsid w:val="00F56FB3"/>
    <w:rsid w:val="00F6136F"/>
    <w:rsid w:val="00F6602E"/>
    <w:rsid w:val="00F70650"/>
    <w:rsid w:val="00F70D54"/>
    <w:rsid w:val="00F723DF"/>
    <w:rsid w:val="00F72F83"/>
    <w:rsid w:val="00F73AB1"/>
    <w:rsid w:val="00F7409F"/>
    <w:rsid w:val="00F75081"/>
    <w:rsid w:val="00F75C23"/>
    <w:rsid w:val="00F76366"/>
    <w:rsid w:val="00F76B0A"/>
    <w:rsid w:val="00F77026"/>
    <w:rsid w:val="00F77953"/>
    <w:rsid w:val="00F813C4"/>
    <w:rsid w:val="00F844B5"/>
    <w:rsid w:val="00F84FB2"/>
    <w:rsid w:val="00F866D8"/>
    <w:rsid w:val="00F904BE"/>
    <w:rsid w:val="00F95FF5"/>
    <w:rsid w:val="00F96FCC"/>
    <w:rsid w:val="00FA07CE"/>
    <w:rsid w:val="00FA0A52"/>
    <w:rsid w:val="00FA2A1C"/>
    <w:rsid w:val="00FA7FAA"/>
    <w:rsid w:val="00FB239C"/>
    <w:rsid w:val="00FB4489"/>
    <w:rsid w:val="00FB45AC"/>
    <w:rsid w:val="00FC31A6"/>
    <w:rsid w:val="00FC47E3"/>
    <w:rsid w:val="00FC5E93"/>
    <w:rsid w:val="00FD1042"/>
    <w:rsid w:val="00FD1EBC"/>
    <w:rsid w:val="00FD221B"/>
    <w:rsid w:val="00FD2460"/>
    <w:rsid w:val="00FD5163"/>
    <w:rsid w:val="00FE1BFC"/>
    <w:rsid w:val="00FE336E"/>
    <w:rsid w:val="00FE7ED7"/>
    <w:rsid w:val="00FF1F1D"/>
    <w:rsid w:val="00FF3EE4"/>
    <w:rsid w:val="00FF407F"/>
    <w:rsid w:val="00FF5155"/>
    <w:rsid w:val="00FF550A"/>
    <w:rsid w:val="00FF6A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1C5F67"/>
  <w15:docId w15:val="{30ACE200-9641-4AAC-84F4-C5B681B0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3E1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9B3"/>
    <w:rPr>
      <w:sz w:val="20"/>
      <w:szCs w:val="20"/>
    </w:rPr>
  </w:style>
  <w:style w:type="character" w:styleId="FootnoteReference">
    <w:name w:val="footnote reference"/>
    <w:basedOn w:val="DefaultParagraphFont"/>
    <w:uiPriority w:val="99"/>
    <w:semiHidden/>
    <w:unhideWhenUsed/>
    <w:rsid w:val="003E1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2200">
      <w:bodyDiv w:val="1"/>
      <w:marLeft w:val="0"/>
      <w:marRight w:val="0"/>
      <w:marTop w:val="0"/>
      <w:marBottom w:val="0"/>
      <w:divBdr>
        <w:top w:val="none" w:sz="0" w:space="0" w:color="auto"/>
        <w:left w:val="none" w:sz="0" w:space="0" w:color="auto"/>
        <w:bottom w:val="none" w:sz="0" w:space="0" w:color="auto"/>
        <w:right w:val="none" w:sz="0" w:space="0" w:color="auto"/>
      </w:divBdr>
    </w:div>
    <w:div w:id="300311753">
      <w:bodyDiv w:val="1"/>
      <w:marLeft w:val="0"/>
      <w:marRight w:val="0"/>
      <w:marTop w:val="0"/>
      <w:marBottom w:val="0"/>
      <w:divBdr>
        <w:top w:val="none" w:sz="0" w:space="0" w:color="auto"/>
        <w:left w:val="none" w:sz="0" w:space="0" w:color="auto"/>
        <w:bottom w:val="none" w:sz="0" w:space="0" w:color="auto"/>
        <w:right w:val="none" w:sz="0" w:space="0" w:color="auto"/>
      </w:divBdr>
    </w:div>
    <w:div w:id="328757812">
      <w:bodyDiv w:val="1"/>
      <w:marLeft w:val="0"/>
      <w:marRight w:val="0"/>
      <w:marTop w:val="0"/>
      <w:marBottom w:val="0"/>
      <w:divBdr>
        <w:top w:val="none" w:sz="0" w:space="0" w:color="auto"/>
        <w:left w:val="none" w:sz="0" w:space="0" w:color="auto"/>
        <w:bottom w:val="none" w:sz="0" w:space="0" w:color="auto"/>
        <w:right w:val="none" w:sz="0" w:space="0" w:color="auto"/>
      </w:divBdr>
    </w:div>
    <w:div w:id="516817809">
      <w:bodyDiv w:val="1"/>
      <w:marLeft w:val="0"/>
      <w:marRight w:val="0"/>
      <w:marTop w:val="0"/>
      <w:marBottom w:val="0"/>
      <w:divBdr>
        <w:top w:val="none" w:sz="0" w:space="0" w:color="auto"/>
        <w:left w:val="none" w:sz="0" w:space="0" w:color="auto"/>
        <w:bottom w:val="none" w:sz="0" w:space="0" w:color="auto"/>
        <w:right w:val="none" w:sz="0" w:space="0" w:color="auto"/>
      </w:divBdr>
    </w:div>
    <w:div w:id="687947527">
      <w:bodyDiv w:val="1"/>
      <w:marLeft w:val="0"/>
      <w:marRight w:val="0"/>
      <w:marTop w:val="0"/>
      <w:marBottom w:val="0"/>
      <w:divBdr>
        <w:top w:val="none" w:sz="0" w:space="0" w:color="auto"/>
        <w:left w:val="none" w:sz="0" w:space="0" w:color="auto"/>
        <w:bottom w:val="none" w:sz="0" w:space="0" w:color="auto"/>
        <w:right w:val="none" w:sz="0" w:space="0" w:color="auto"/>
      </w:divBdr>
    </w:div>
    <w:div w:id="823666361">
      <w:bodyDiv w:val="1"/>
      <w:marLeft w:val="0"/>
      <w:marRight w:val="0"/>
      <w:marTop w:val="0"/>
      <w:marBottom w:val="0"/>
      <w:divBdr>
        <w:top w:val="none" w:sz="0" w:space="0" w:color="auto"/>
        <w:left w:val="none" w:sz="0" w:space="0" w:color="auto"/>
        <w:bottom w:val="none" w:sz="0" w:space="0" w:color="auto"/>
        <w:right w:val="none" w:sz="0" w:space="0" w:color="auto"/>
      </w:divBdr>
    </w:div>
    <w:div w:id="1164469801">
      <w:bodyDiv w:val="1"/>
      <w:marLeft w:val="0"/>
      <w:marRight w:val="0"/>
      <w:marTop w:val="0"/>
      <w:marBottom w:val="0"/>
      <w:divBdr>
        <w:top w:val="none" w:sz="0" w:space="0" w:color="auto"/>
        <w:left w:val="none" w:sz="0" w:space="0" w:color="auto"/>
        <w:bottom w:val="none" w:sz="0" w:space="0" w:color="auto"/>
        <w:right w:val="none" w:sz="0" w:space="0" w:color="auto"/>
      </w:divBdr>
    </w:div>
    <w:div w:id="1436368714">
      <w:bodyDiv w:val="1"/>
      <w:marLeft w:val="0"/>
      <w:marRight w:val="0"/>
      <w:marTop w:val="0"/>
      <w:marBottom w:val="0"/>
      <w:divBdr>
        <w:top w:val="none" w:sz="0" w:space="0" w:color="auto"/>
        <w:left w:val="none" w:sz="0" w:space="0" w:color="auto"/>
        <w:bottom w:val="none" w:sz="0" w:space="0" w:color="auto"/>
        <w:right w:val="none" w:sz="0" w:space="0" w:color="auto"/>
      </w:divBdr>
    </w:div>
    <w:div w:id="1686052668">
      <w:bodyDiv w:val="1"/>
      <w:marLeft w:val="0"/>
      <w:marRight w:val="0"/>
      <w:marTop w:val="0"/>
      <w:marBottom w:val="0"/>
      <w:divBdr>
        <w:top w:val="none" w:sz="0" w:space="0" w:color="auto"/>
        <w:left w:val="none" w:sz="0" w:space="0" w:color="auto"/>
        <w:bottom w:val="none" w:sz="0" w:space="0" w:color="auto"/>
        <w:right w:val="none" w:sz="0" w:space="0" w:color="auto"/>
      </w:divBdr>
    </w:div>
    <w:div w:id="17450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2450-2C54-4C58-AA8A-E7B795F1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Fuehrmeyer</dc:creator>
  <cp:lastModifiedBy>Rafael Wiesenberg</cp:lastModifiedBy>
  <cp:revision>4</cp:revision>
  <cp:lastPrinted>2017-12-01T18:55:00Z</cp:lastPrinted>
  <dcterms:created xsi:type="dcterms:W3CDTF">2018-02-05T15:51:00Z</dcterms:created>
  <dcterms:modified xsi:type="dcterms:W3CDTF">2018-02-06T20:30:00Z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