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598F" w14:textId="29D3A894" w:rsidR="00875639" w:rsidRDefault="00596D36" w:rsidP="00AB675A">
      <w:pPr>
        <w:spacing w:after="0" w:line="240" w:lineRule="auto"/>
        <w:jc w:val="both"/>
      </w:pPr>
      <w:r w:rsidRPr="008856F7">
        <w:t xml:space="preserve">December </w:t>
      </w:r>
      <w:r w:rsidR="008856F7" w:rsidRPr="008856F7">
        <w:t>6</w:t>
      </w:r>
      <w:r w:rsidRPr="008856F7">
        <w:t>, 2017</w:t>
      </w:r>
    </w:p>
    <w:p w14:paraId="0B4AB6B8" w14:textId="77777777" w:rsidR="00EB4F4B" w:rsidRPr="00934239" w:rsidRDefault="00EB4F4B" w:rsidP="00AB675A">
      <w:pPr>
        <w:spacing w:after="0" w:line="240" w:lineRule="auto"/>
        <w:jc w:val="both"/>
      </w:pPr>
    </w:p>
    <w:p w14:paraId="4C50564F" w14:textId="77777777" w:rsidR="000C1399" w:rsidRDefault="00316CB2" w:rsidP="00AB675A">
      <w:pPr>
        <w:spacing w:after="0" w:line="240" w:lineRule="auto"/>
        <w:jc w:val="both"/>
      </w:pPr>
      <w:r>
        <w:t>Technical Director</w:t>
      </w:r>
    </w:p>
    <w:p w14:paraId="410BE7A5" w14:textId="77777777" w:rsidR="000C1399" w:rsidRDefault="00316CB2" w:rsidP="00AB675A">
      <w:pPr>
        <w:spacing w:after="0" w:line="240" w:lineRule="auto"/>
        <w:jc w:val="both"/>
      </w:pPr>
      <w:r>
        <w:t>Financial Accounting Standards Board</w:t>
      </w:r>
    </w:p>
    <w:p w14:paraId="00C281B5" w14:textId="77777777" w:rsidR="00316CB2" w:rsidRDefault="00316CB2" w:rsidP="00AB675A">
      <w:pPr>
        <w:spacing w:after="0" w:line="240" w:lineRule="auto"/>
        <w:jc w:val="both"/>
      </w:pPr>
      <w:r>
        <w:t>401 Merritt 7, P.O. Box 5116</w:t>
      </w:r>
    </w:p>
    <w:p w14:paraId="40F6AB49" w14:textId="77777777" w:rsidR="00316CB2" w:rsidRDefault="00316CB2" w:rsidP="00AB675A">
      <w:pPr>
        <w:spacing w:after="0" w:line="240" w:lineRule="auto"/>
        <w:jc w:val="both"/>
      </w:pPr>
      <w:r>
        <w:t>Norwalk, CT 06856-5116</w:t>
      </w:r>
    </w:p>
    <w:p w14:paraId="5215E1A4" w14:textId="77777777" w:rsidR="00316CB2" w:rsidRDefault="00316CB2" w:rsidP="00AB675A">
      <w:pPr>
        <w:spacing w:after="0" w:line="240" w:lineRule="auto"/>
        <w:jc w:val="both"/>
      </w:pPr>
    </w:p>
    <w:p w14:paraId="2C7E38E1" w14:textId="7339F774" w:rsidR="00316CB2" w:rsidRDefault="001864B1" w:rsidP="00AB675A">
      <w:pPr>
        <w:spacing w:after="0" w:line="240" w:lineRule="auto"/>
        <w:jc w:val="both"/>
      </w:pPr>
      <w:r>
        <w:t>File Reference No. 2017-</w:t>
      </w:r>
      <w:r w:rsidR="00596D36">
        <w:t>280</w:t>
      </w:r>
    </w:p>
    <w:p w14:paraId="0158E396" w14:textId="77777777" w:rsidR="008F1D9E" w:rsidRDefault="008F1D9E" w:rsidP="00AB675A">
      <w:pPr>
        <w:spacing w:after="0" w:line="240" w:lineRule="auto"/>
        <w:jc w:val="both"/>
      </w:pPr>
    </w:p>
    <w:p w14:paraId="4A1FAEC9" w14:textId="620AE920" w:rsidR="00671140" w:rsidRPr="00671140" w:rsidRDefault="00316CB2" w:rsidP="00AB675A">
      <w:pPr>
        <w:spacing w:after="0" w:line="240" w:lineRule="auto"/>
        <w:jc w:val="both"/>
        <w:rPr>
          <w:rFonts w:cstheme="minorBidi"/>
        </w:rPr>
      </w:pPr>
      <w:r w:rsidRPr="00AD259B">
        <w:rPr>
          <w:rFonts w:cstheme="minorBidi"/>
        </w:rPr>
        <w:t>The Accounting Principles Committee of the Illinois CPA Society (“Committee”) appreciate</w:t>
      </w:r>
      <w:r w:rsidR="00631F9E">
        <w:rPr>
          <w:rFonts w:cstheme="minorBidi"/>
        </w:rPr>
        <w:t>s</w:t>
      </w:r>
      <w:r w:rsidRPr="00AD259B">
        <w:rPr>
          <w:rFonts w:cstheme="minorBidi"/>
        </w:rPr>
        <w:t xml:space="preserve"> the opportunity to provide </w:t>
      </w:r>
      <w:r w:rsidR="002A2A66">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3D44A5">
        <w:rPr>
          <w:rFonts w:cstheme="minorBidi"/>
          <w:i/>
        </w:rPr>
        <w:t>Consolidation</w:t>
      </w:r>
      <w:r w:rsidR="007F305D">
        <w:rPr>
          <w:rFonts w:cstheme="minorBidi"/>
          <w:i/>
        </w:rPr>
        <w:t xml:space="preserve"> </w:t>
      </w:r>
      <w:r w:rsidR="00704973">
        <w:rPr>
          <w:rFonts w:cstheme="minorBidi"/>
          <w:i/>
        </w:rPr>
        <w:t>(Topic 81</w:t>
      </w:r>
      <w:r w:rsidR="003D44A5">
        <w:rPr>
          <w:rFonts w:cstheme="minorBidi"/>
          <w:i/>
        </w:rPr>
        <w:t>2</w:t>
      </w:r>
      <w:r w:rsidR="001864B1">
        <w:rPr>
          <w:rFonts w:cstheme="minorBidi"/>
          <w:i/>
        </w:rPr>
        <w:t>)</w:t>
      </w:r>
      <w:r w:rsidR="003D44A5">
        <w:rPr>
          <w:rFonts w:cstheme="minorBidi"/>
          <w:i/>
        </w:rPr>
        <w:t>: Reorganization</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3C811ED3" w14:textId="77777777" w:rsidR="00316CB2" w:rsidRDefault="00316CB2" w:rsidP="00AB675A">
      <w:pPr>
        <w:pStyle w:val="NoSpacing"/>
        <w:jc w:val="both"/>
      </w:pPr>
    </w:p>
    <w:p w14:paraId="408866BC" w14:textId="4A6448C3" w:rsidR="00316CB2" w:rsidRDefault="00631F9E" w:rsidP="00AB675A">
      <w:pPr>
        <w:pStyle w:val="NoSpacing"/>
        <w:jc w:val="both"/>
      </w:pPr>
      <w:r>
        <w:t>In gener</w:t>
      </w:r>
      <w:r w:rsidR="00CA064B">
        <w:t xml:space="preserve">al, </w:t>
      </w:r>
      <w:r w:rsidR="000D1FB3">
        <w:t>the Committee is</w:t>
      </w:r>
      <w:r w:rsidR="00425ACC">
        <w:t xml:space="preserve"> supportive of</w:t>
      </w:r>
      <w:r w:rsidR="00CA064B">
        <w:t xml:space="preserve"> the </w:t>
      </w:r>
      <w:r w:rsidR="00425ACC">
        <w:t xml:space="preserve">Board’s </w:t>
      </w:r>
      <w:r w:rsidR="00CA064B">
        <w:t>proposed changes</w:t>
      </w:r>
      <w:r w:rsidR="00F03D77">
        <w:t xml:space="preserve">. </w:t>
      </w:r>
      <w:r w:rsidR="000D1FB3">
        <w:t>The Committee</w:t>
      </w:r>
      <w:r w:rsidR="00F03D77">
        <w:t xml:space="preserve"> believe</w:t>
      </w:r>
      <w:r w:rsidR="000D1FB3">
        <w:t>s</w:t>
      </w:r>
      <w:r w:rsidR="00F03D77">
        <w:t xml:space="preserve"> the proposed reorganization of the Consolidation Topic into a new Topic 812 will improve stakeholders’ understandin</w:t>
      </w:r>
      <w:r w:rsidR="003B06E2">
        <w:t>g of the consolidation guidance</w:t>
      </w:r>
      <w:r w:rsidR="00F03D77">
        <w:t xml:space="preserve"> </w:t>
      </w:r>
      <w:r w:rsidR="003B06E2">
        <w:t xml:space="preserve">by making navigation easier, which should result in a better understanding of the </w:t>
      </w:r>
      <w:r w:rsidR="000D1FB3">
        <w:t>consolidation guidance</w:t>
      </w:r>
      <w:r w:rsidR="003B06E2">
        <w:t xml:space="preserve"> without affecting how </w:t>
      </w:r>
      <w:r w:rsidR="000D1FB3">
        <w:t xml:space="preserve">the </w:t>
      </w:r>
      <w:r w:rsidR="003B06E2">
        <w:t>consolidation analyses are</w:t>
      </w:r>
      <w:r w:rsidR="000D1FB3">
        <w:t xml:space="preserve"> performed today</w:t>
      </w:r>
      <w:r w:rsidR="00F75C23">
        <w:t>.</w:t>
      </w:r>
    </w:p>
    <w:p w14:paraId="4BDA0B38" w14:textId="77777777" w:rsidR="008F24DE" w:rsidRDefault="008F24DE" w:rsidP="00AB675A">
      <w:pPr>
        <w:pStyle w:val="NoSpacing"/>
        <w:jc w:val="both"/>
      </w:pPr>
    </w:p>
    <w:p w14:paraId="06ED43C8" w14:textId="52E38226" w:rsidR="008F24DE" w:rsidRDefault="008F24DE" w:rsidP="00AB675A">
      <w:pPr>
        <w:pStyle w:val="NoSpacing"/>
        <w:jc w:val="both"/>
      </w:pPr>
      <w:r>
        <w:t xml:space="preserve">We have provided our responses to </w:t>
      </w:r>
      <w:r w:rsidR="003B06E2">
        <w:t>specific</w:t>
      </w:r>
      <w:r>
        <w:t xml:space="preserve"> questions raised in the proposed ASU below.</w:t>
      </w:r>
    </w:p>
    <w:p w14:paraId="1494B75D" w14:textId="77777777" w:rsidR="00B20EE2" w:rsidRDefault="00B20EE2" w:rsidP="00AB675A">
      <w:pPr>
        <w:pStyle w:val="NoSpacing"/>
        <w:jc w:val="both"/>
      </w:pPr>
    </w:p>
    <w:p w14:paraId="33872630" w14:textId="77777777" w:rsidR="003D44A5" w:rsidRDefault="003D44A5" w:rsidP="00AB675A">
      <w:pPr>
        <w:jc w:val="both"/>
      </w:pPr>
      <w:r w:rsidRPr="003D44A5">
        <w:rPr>
          <w:b/>
        </w:rPr>
        <w:t>Question 1:</w:t>
      </w:r>
      <w:r>
        <w:t xml:space="preserve"> </w:t>
      </w:r>
      <w:r w:rsidRPr="00AB675A">
        <w:rPr>
          <w:i/>
        </w:rPr>
        <w:t>Would the reorganization of Topic 810 into a new Topic 812 with separate Subtopics for VIEs (Subtopic 812-20) and voting interest entities (Subtopic 812-30) be easier to understand and navigate? If not, please explain what other approaches the Board should consider.</w:t>
      </w:r>
      <w:r>
        <w:t xml:space="preserve"> </w:t>
      </w:r>
    </w:p>
    <w:p w14:paraId="6426E980" w14:textId="2F0F0F88" w:rsidR="00EF293E" w:rsidRDefault="00AD1FD1" w:rsidP="00AB675A">
      <w:pPr>
        <w:jc w:val="both"/>
        <w:rPr>
          <w:b/>
        </w:rPr>
      </w:pPr>
      <w:r>
        <w:rPr>
          <w:b/>
        </w:rPr>
        <w:t xml:space="preserve">Response: </w:t>
      </w:r>
      <w:r w:rsidR="000D1FB3">
        <w:t xml:space="preserve">As noted above, the Committee believes the reorganization of the consolidation guidance into Topic 812 will be easier to navigate than under Topic 810, which should result in a better understanding of the consolidation guidance and potentially more consistent application among stakeholders. </w:t>
      </w:r>
    </w:p>
    <w:p w14:paraId="050CAFEC" w14:textId="77777777" w:rsidR="000D1FB3" w:rsidRDefault="000D1FB3" w:rsidP="00AB675A">
      <w:pPr>
        <w:jc w:val="both"/>
      </w:pPr>
      <w:r w:rsidRPr="000D1FB3">
        <w:rPr>
          <w:b/>
        </w:rPr>
        <w:t>Question 2:</w:t>
      </w:r>
      <w:r>
        <w:t xml:space="preserve"> </w:t>
      </w:r>
      <w:r w:rsidRPr="00AB675A">
        <w:rPr>
          <w:i/>
        </w:rPr>
        <w:t>Is the guidance for “Consolidation of Entities Controlled by Contract” applicable only for not-for-profit entities and, thus, should be within Topic 958? If not, please explain why.</w:t>
      </w:r>
      <w:r>
        <w:t xml:space="preserve"> </w:t>
      </w:r>
    </w:p>
    <w:p w14:paraId="3B1C6676" w14:textId="6B4540CB" w:rsidR="00B96790" w:rsidRDefault="00B96790" w:rsidP="00AB675A">
      <w:pPr>
        <w:jc w:val="both"/>
      </w:pPr>
      <w:r>
        <w:rPr>
          <w:b/>
        </w:rPr>
        <w:t>Response</w:t>
      </w:r>
      <w:r>
        <w:t xml:space="preserve">: </w:t>
      </w:r>
      <w:r w:rsidR="000D1FB3">
        <w:t xml:space="preserve">The Committee believes that the </w:t>
      </w:r>
      <w:r w:rsidR="000D1FB3" w:rsidRPr="000D1FB3">
        <w:rPr>
          <w:i/>
        </w:rPr>
        <w:t>“Consolidation of Entities Controlled by Contract”</w:t>
      </w:r>
      <w:r w:rsidR="000D1FB3">
        <w:t xml:space="preserve"> guidance </w:t>
      </w:r>
      <w:r w:rsidR="00AD4A3D">
        <w:t>is, in practice, applicable</w:t>
      </w:r>
      <w:r w:rsidR="000D1FB3">
        <w:t xml:space="preserve"> only</w:t>
      </w:r>
      <w:r w:rsidR="00AD4A3D">
        <w:t xml:space="preserve"> for</w:t>
      </w:r>
      <w:r w:rsidR="000D1FB3">
        <w:t xml:space="preserve"> not-for-profit entities and should be </w:t>
      </w:r>
      <w:r w:rsidR="00AD4A3D">
        <w:t>moved to</w:t>
      </w:r>
      <w:r w:rsidR="000D1FB3">
        <w:t xml:space="preserve"> Topic 958</w:t>
      </w:r>
      <w:r w:rsidR="000355CC">
        <w:t xml:space="preserve"> to ensure those entities controlled by a not-for-profit are properly included in the not-for-profit’s consolidation. We believe that any commercial entity with a similar contract arrangement as “controlled by contract” would follow the guidance in Subtopic 812-20 (variable interest entities) in determining if consolidation is required and would not be impacted by moving the </w:t>
      </w:r>
      <w:r w:rsidR="000355CC" w:rsidRPr="000355CC">
        <w:rPr>
          <w:i/>
        </w:rPr>
        <w:t xml:space="preserve">“Consolidation of Entities Controlled by Contract” </w:t>
      </w:r>
      <w:r w:rsidR="000355CC">
        <w:t>guidance to Topic 958-812.</w:t>
      </w:r>
    </w:p>
    <w:p w14:paraId="4752E63E" w14:textId="77777777" w:rsidR="000355CC" w:rsidRDefault="000355CC" w:rsidP="00AB675A">
      <w:pPr>
        <w:jc w:val="both"/>
      </w:pPr>
      <w:r w:rsidRPr="000355CC">
        <w:rPr>
          <w:b/>
        </w:rPr>
        <w:t>Question 3:</w:t>
      </w:r>
      <w:r>
        <w:t xml:space="preserve"> </w:t>
      </w:r>
      <w:r w:rsidRPr="00AB675A">
        <w:rPr>
          <w:i/>
        </w:rPr>
        <w:t>Is the consolidation guidance for research and development arrangements currently in Subtopic 810-30 not used in practice and, therefore, should be superseded? If not, please explain why or why and the types of transactions that may still be within the scope of that Subtopic.</w:t>
      </w:r>
    </w:p>
    <w:p w14:paraId="502B4325" w14:textId="4456622B" w:rsidR="00B96790" w:rsidRDefault="00B96790" w:rsidP="00AB675A">
      <w:pPr>
        <w:jc w:val="both"/>
      </w:pPr>
      <w:r>
        <w:rPr>
          <w:b/>
        </w:rPr>
        <w:lastRenderedPageBreak/>
        <w:t>Response</w:t>
      </w:r>
      <w:r>
        <w:t xml:space="preserve">: </w:t>
      </w:r>
      <w:r w:rsidR="000355CC">
        <w:t>The Committee is not</w:t>
      </w:r>
      <w:r w:rsidR="00C161F9">
        <w:t xml:space="preserve"> aware of any situations where Subtopic 810-30 is used in practice today. The Committee is in agreement with the Board’s proposal to supersede the guidance.</w:t>
      </w:r>
    </w:p>
    <w:p w14:paraId="779845E6" w14:textId="77777777" w:rsidR="00C161F9" w:rsidRDefault="00B96790" w:rsidP="00AB675A">
      <w:pPr>
        <w:jc w:val="both"/>
      </w:pPr>
      <w:r w:rsidRPr="00B96790">
        <w:rPr>
          <w:b/>
        </w:rPr>
        <w:t xml:space="preserve">Question 4: </w:t>
      </w:r>
      <w:r w:rsidR="00C161F9" w:rsidRPr="00AB675A">
        <w:rPr>
          <w:i/>
        </w:rPr>
        <w:t>Are there any areas or items in proposed Topic 812 that, as reorganized or clarified, are difficult to understand? If so, please describe the areas or items and explain why they are difficult to understand.</w:t>
      </w:r>
    </w:p>
    <w:p w14:paraId="0320A425" w14:textId="47979273" w:rsidR="00FF1F1D" w:rsidRDefault="00AD1FD1" w:rsidP="00AB675A">
      <w:pPr>
        <w:jc w:val="both"/>
        <w:rPr>
          <w:b/>
        </w:rPr>
      </w:pPr>
      <w:r>
        <w:rPr>
          <w:b/>
        </w:rPr>
        <w:t>Response</w:t>
      </w:r>
      <w:r>
        <w:t>:</w:t>
      </w:r>
      <w:r w:rsidR="000F7F99">
        <w:t xml:space="preserve"> </w:t>
      </w:r>
      <w:r w:rsidR="00C161F9">
        <w:t>The Committee has not identified any areas or items in proposed Topic 812 that, as reorganized or clarified, would be difficult to understand</w:t>
      </w:r>
      <w:r w:rsidR="000F7F99">
        <w:t xml:space="preserve">.  </w:t>
      </w:r>
    </w:p>
    <w:p w14:paraId="1645CCA0" w14:textId="5EA970F0" w:rsidR="00AD1FD1" w:rsidRDefault="00B96790" w:rsidP="00AB675A">
      <w:pPr>
        <w:jc w:val="both"/>
      </w:pPr>
      <w:r w:rsidRPr="00B96790">
        <w:rPr>
          <w:b/>
        </w:rPr>
        <w:t>Question 5:</w:t>
      </w:r>
      <w:r>
        <w:t xml:space="preserve"> </w:t>
      </w:r>
      <w:r w:rsidR="00C161F9" w:rsidRPr="00AB675A">
        <w:rPr>
          <w:i/>
        </w:rPr>
        <w:t>Given that the Board does not anticipate changes to accounting for consolidation or changes in outcomes reached as a result of the amendments in this proposed Update, should transition guidance be provided? If so, please explain what changes in this proposed Update may cause changes in practice or outcomes.</w:t>
      </w:r>
    </w:p>
    <w:p w14:paraId="2498FE93" w14:textId="27A00B6B" w:rsidR="00FF1F1D" w:rsidRDefault="00B96790" w:rsidP="00AB675A">
      <w:pPr>
        <w:jc w:val="both"/>
        <w:rPr>
          <w:b/>
        </w:rPr>
      </w:pPr>
      <w:r>
        <w:rPr>
          <w:b/>
        </w:rPr>
        <w:t>Response</w:t>
      </w:r>
      <w:r>
        <w:t xml:space="preserve">: </w:t>
      </w:r>
      <w:r w:rsidR="00CB2D15">
        <w:t>The Committee believes transition guidance should be provided in the</w:t>
      </w:r>
      <w:r w:rsidR="003C3F61">
        <w:t xml:space="preserve"> final ASU. While we do not have specific examples of anticipated changes in practice or outcomes, similar to the </w:t>
      </w:r>
      <w:r w:rsidR="00FC5E93">
        <w:t>explanation provided</w:t>
      </w:r>
      <w:r w:rsidR="003C3F61">
        <w:t xml:space="preserve"> in BC16, the Committee believes there is the potential for outcomes to change from those reached historically under Topic 810 due to a better understanding of the guidance that warrants including transition guidance in the final ASU.</w:t>
      </w:r>
    </w:p>
    <w:p w14:paraId="1C6B1975" w14:textId="19C15A1D" w:rsidR="00B96790" w:rsidRDefault="00B96790" w:rsidP="00AB675A">
      <w:pPr>
        <w:jc w:val="both"/>
      </w:pPr>
      <w:r w:rsidRPr="00B96790">
        <w:rPr>
          <w:b/>
        </w:rPr>
        <w:t>Question 6:</w:t>
      </w:r>
      <w:r>
        <w:t xml:space="preserve"> </w:t>
      </w:r>
      <w:r w:rsidR="00BD7ECB" w:rsidRPr="00AB675A">
        <w:rPr>
          <w:i/>
        </w:rPr>
        <w:t>Do you agree with the proposed transition requirements in paragraph 812-30-65-1? If not, what transition approach would be more appropriate?</w:t>
      </w:r>
    </w:p>
    <w:p w14:paraId="1B43E5EE" w14:textId="483CBD79" w:rsidR="00BD7ECB" w:rsidRDefault="00B96790" w:rsidP="00AB675A">
      <w:pPr>
        <w:jc w:val="both"/>
      </w:pPr>
      <w:r>
        <w:rPr>
          <w:b/>
        </w:rPr>
        <w:t>Response</w:t>
      </w:r>
      <w:r>
        <w:t xml:space="preserve">: </w:t>
      </w:r>
      <w:r w:rsidR="00BD7ECB">
        <w:t xml:space="preserve">The Committee agrees with the proposed transition requirements in paragraph 812-30-65-1 and we don’t anticipate any issues in applying them in practice. </w:t>
      </w:r>
    </w:p>
    <w:p w14:paraId="0F6AF75A" w14:textId="77777777" w:rsidR="00BD7ECB" w:rsidRDefault="00B96790" w:rsidP="00AB675A">
      <w:pPr>
        <w:jc w:val="both"/>
      </w:pPr>
      <w:r w:rsidRPr="00B96790">
        <w:rPr>
          <w:b/>
        </w:rPr>
        <w:t xml:space="preserve">Question 7: </w:t>
      </w:r>
      <w:r w:rsidR="00BD7ECB" w:rsidRPr="00AB675A">
        <w:rPr>
          <w:i/>
        </w:rPr>
        <w:t xml:space="preserve">Should a reporting entity be required to provide the transition disclosures specified in the amendments in this particular update? Should any other disclosures be required? If so, please explain why. </w:t>
      </w:r>
    </w:p>
    <w:p w14:paraId="03BE7E6C" w14:textId="6D3E3428" w:rsidR="00B96790" w:rsidRDefault="00B96790" w:rsidP="00AB675A">
      <w:pPr>
        <w:jc w:val="both"/>
      </w:pPr>
      <w:r>
        <w:rPr>
          <w:b/>
        </w:rPr>
        <w:t>Response</w:t>
      </w:r>
      <w:r>
        <w:t xml:space="preserve">: </w:t>
      </w:r>
      <w:r w:rsidR="00BD7ECB">
        <w:t xml:space="preserve">The Committee agrees that a reporting entity be required to provide the transition disclosures specified in the proposed ASU. We are not aware of any other disclosures that should be required. </w:t>
      </w:r>
    </w:p>
    <w:p w14:paraId="47D8A788" w14:textId="39746E5B" w:rsidR="00B96790" w:rsidRDefault="00B96790" w:rsidP="00AB675A">
      <w:pPr>
        <w:pStyle w:val="NoSpacing"/>
        <w:jc w:val="both"/>
      </w:pPr>
      <w:r w:rsidRPr="00B96790">
        <w:rPr>
          <w:b/>
        </w:rPr>
        <w:t xml:space="preserve">Question 8: </w:t>
      </w:r>
      <w:r w:rsidR="00BD7ECB" w:rsidRPr="00AB675A">
        <w:rPr>
          <w:i/>
        </w:rPr>
        <w:t>Should the effective date be the same for both public business entities and entities other than public business entities?</w:t>
      </w:r>
    </w:p>
    <w:p w14:paraId="42BA58AC" w14:textId="77777777" w:rsidR="00BD7ECB" w:rsidRDefault="00BD7ECB" w:rsidP="00AB675A">
      <w:pPr>
        <w:pStyle w:val="NoSpacing"/>
        <w:jc w:val="both"/>
      </w:pPr>
    </w:p>
    <w:p w14:paraId="155D8717" w14:textId="6E32BC63" w:rsidR="00FF1F1D" w:rsidRDefault="00B96790" w:rsidP="00AB675A">
      <w:pPr>
        <w:jc w:val="both"/>
        <w:rPr>
          <w:b/>
        </w:rPr>
      </w:pPr>
      <w:r>
        <w:rPr>
          <w:b/>
        </w:rPr>
        <w:t>Response</w:t>
      </w:r>
      <w:r>
        <w:t>:</w:t>
      </w:r>
      <w:r w:rsidR="00EF293E">
        <w:t xml:space="preserve"> </w:t>
      </w:r>
      <w:r w:rsidR="00BD7ECB">
        <w:t xml:space="preserve">The Committee believes the effective date of the proposed reorganization should be the same for both public business entities and entities other than public business entities. </w:t>
      </w:r>
    </w:p>
    <w:p w14:paraId="40144BF5" w14:textId="3CC81210" w:rsidR="00B96790" w:rsidRDefault="00B96790" w:rsidP="00AB675A">
      <w:pPr>
        <w:pStyle w:val="NoSpacing"/>
        <w:jc w:val="both"/>
      </w:pPr>
      <w:r w:rsidRPr="00B96790">
        <w:rPr>
          <w:b/>
        </w:rPr>
        <w:t>Question 9:</w:t>
      </w:r>
      <w:r>
        <w:t xml:space="preserve"> </w:t>
      </w:r>
      <w:r w:rsidR="00BD7ECB" w:rsidRPr="00AB675A">
        <w:rPr>
          <w:i/>
        </w:rPr>
        <w:t>How much time would be needed to implement the proposed amendments? Should entities other than public business entities be provided with more time? If so, how much more time?</w:t>
      </w:r>
    </w:p>
    <w:p w14:paraId="65B2BE3C" w14:textId="77777777" w:rsidR="00B96790" w:rsidRDefault="00B96790" w:rsidP="00AB675A">
      <w:pPr>
        <w:pStyle w:val="NoSpacing"/>
        <w:jc w:val="both"/>
      </w:pPr>
    </w:p>
    <w:p w14:paraId="1538E189" w14:textId="32525CDF" w:rsidR="00B96790" w:rsidRDefault="00B96790" w:rsidP="00AB675A">
      <w:pPr>
        <w:jc w:val="both"/>
      </w:pPr>
      <w:r>
        <w:rPr>
          <w:b/>
        </w:rPr>
        <w:t>Response</w:t>
      </w:r>
      <w:r>
        <w:t xml:space="preserve">: </w:t>
      </w:r>
      <w:r w:rsidR="00BD7ECB">
        <w:t>As the reorganization simplifies the consolidation topic, the Committee does not believe it would require significant time to implement. We also believe that due to the simplification of the proposed ASU, entities other than public business entities would not require additional time to implement</w:t>
      </w:r>
      <w:r w:rsidR="00AB675A">
        <w:t xml:space="preserve"> the update. </w:t>
      </w:r>
    </w:p>
    <w:p w14:paraId="363EC367" w14:textId="77777777" w:rsidR="003E6D96" w:rsidRDefault="003E6D96" w:rsidP="00AB675A">
      <w:pPr>
        <w:jc w:val="both"/>
      </w:pPr>
    </w:p>
    <w:p w14:paraId="46D2DA09" w14:textId="77777777" w:rsidR="00316CB2" w:rsidRDefault="008C6A43" w:rsidP="00AB675A">
      <w:pPr>
        <w:spacing w:after="0"/>
        <w:jc w:val="center"/>
      </w:pPr>
      <w:r>
        <w:t xml:space="preserve">* </w:t>
      </w:r>
      <w:r>
        <w:tab/>
        <w:t>*</w:t>
      </w:r>
      <w:r>
        <w:tab/>
        <w:t>*</w:t>
      </w:r>
      <w:r>
        <w:tab/>
        <w:t>*</w:t>
      </w:r>
      <w:r>
        <w:tab/>
        <w:t>*</w:t>
      </w:r>
      <w:r>
        <w:tab/>
        <w:t>*</w:t>
      </w:r>
    </w:p>
    <w:p w14:paraId="22036D35" w14:textId="77777777" w:rsidR="008C6A43" w:rsidRDefault="008C6A43" w:rsidP="00AB675A">
      <w:pPr>
        <w:spacing w:after="0"/>
        <w:jc w:val="both"/>
      </w:pPr>
    </w:p>
    <w:p w14:paraId="78813DE0" w14:textId="77777777" w:rsidR="00316CB2" w:rsidRPr="00F34F90" w:rsidRDefault="00316CB2" w:rsidP="00AB675A">
      <w:pPr>
        <w:spacing w:after="0"/>
        <w:jc w:val="both"/>
      </w:pPr>
      <w:r w:rsidRPr="00F34F90">
        <w:lastRenderedPageBreak/>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112FC05A" w14:textId="77777777" w:rsidR="00316CB2" w:rsidRPr="00F34F90" w:rsidRDefault="00316CB2" w:rsidP="00AB675A">
      <w:pPr>
        <w:spacing w:after="0"/>
        <w:jc w:val="both"/>
      </w:pPr>
    </w:p>
    <w:p w14:paraId="6FF2E77A" w14:textId="77777777" w:rsidR="00316CB2" w:rsidRPr="00F34F90" w:rsidRDefault="00316CB2" w:rsidP="00AB675A">
      <w:pPr>
        <w:spacing w:after="0"/>
        <w:jc w:val="both"/>
      </w:pPr>
      <w:r w:rsidRPr="00F34F90">
        <w:t>Sincerely,</w:t>
      </w:r>
    </w:p>
    <w:p w14:paraId="54A728A8" w14:textId="77777777" w:rsidR="00316CB2" w:rsidRPr="00F21F08" w:rsidRDefault="00316CB2" w:rsidP="00AB675A"/>
    <w:p w14:paraId="2BCFA041" w14:textId="77777777" w:rsidR="008A791F" w:rsidRPr="008B1FB7" w:rsidRDefault="008A791F" w:rsidP="00AB675A">
      <w:pPr>
        <w:rPr>
          <w:sz w:val="20"/>
          <w:szCs w:val="20"/>
        </w:rPr>
      </w:pPr>
      <w:r w:rsidRPr="008B1FB7">
        <w:rPr>
          <w:b/>
          <w:bCs/>
          <w:sz w:val="20"/>
          <w:szCs w:val="20"/>
        </w:rPr>
        <w:t>Ryan Brady, CPA</w:t>
      </w:r>
      <w:r w:rsidRPr="008B1FB7">
        <w:rPr>
          <w:sz w:val="20"/>
          <w:szCs w:val="20"/>
        </w:rPr>
        <w:br/>
        <w:t>Chair, Accounting Principles Committee</w:t>
      </w:r>
    </w:p>
    <w:p w14:paraId="5743B4AE" w14:textId="77777777" w:rsidR="008A791F" w:rsidRPr="008B1FB7" w:rsidRDefault="008A791F" w:rsidP="00AB675A">
      <w:pPr>
        <w:rPr>
          <w:sz w:val="20"/>
          <w:szCs w:val="20"/>
        </w:rPr>
      </w:pPr>
      <w:r w:rsidRPr="008B1FB7">
        <w:rPr>
          <w:b/>
          <w:bCs/>
          <w:sz w:val="20"/>
          <w:szCs w:val="20"/>
        </w:rPr>
        <w:t>Brian Kot, CPA</w:t>
      </w:r>
      <w:r w:rsidRPr="008B1FB7">
        <w:rPr>
          <w:sz w:val="20"/>
          <w:szCs w:val="20"/>
        </w:rPr>
        <w:br/>
        <w:t>Vice Chair, Accounting Principles Committee</w:t>
      </w:r>
    </w:p>
    <w:p w14:paraId="5B775399" w14:textId="77777777" w:rsidR="001674EA" w:rsidRDefault="001674EA" w:rsidP="00316CB2">
      <w:pPr>
        <w:spacing w:after="0"/>
        <w:jc w:val="both"/>
        <w:sectPr w:rsidR="001674EA" w:rsidSect="001674EA">
          <w:footerReference w:type="default" r:id="rId8"/>
          <w:headerReference w:type="first" r:id="rId9"/>
          <w:pgSz w:w="12240" w:h="15840"/>
          <w:pgMar w:top="1440" w:right="1152" w:bottom="1440" w:left="1440" w:header="720" w:footer="720" w:gutter="0"/>
          <w:cols w:space="720"/>
          <w:titlePg/>
          <w:docGrid w:linePitch="360"/>
        </w:sectPr>
      </w:pPr>
    </w:p>
    <w:p w14:paraId="0F0A35CA" w14:textId="77777777" w:rsidR="008856F7" w:rsidRPr="005150CC" w:rsidRDefault="008856F7" w:rsidP="008856F7">
      <w:pPr>
        <w:tabs>
          <w:tab w:val="left" w:pos="360"/>
          <w:tab w:val="center" w:pos="4680"/>
        </w:tabs>
        <w:suppressAutoHyphens/>
        <w:spacing w:after="0"/>
        <w:jc w:val="center"/>
        <w:rPr>
          <w:sz w:val="20"/>
          <w:szCs w:val="20"/>
        </w:rPr>
      </w:pPr>
      <w:r w:rsidRPr="005150CC">
        <w:rPr>
          <w:sz w:val="20"/>
          <w:szCs w:val="20"/>
        </w:rPr>
        <w:lastRenderedPageBreak/>
        <w:t>APPENDIX A</w:t>
      </w:r>
    </w:p>
    <w:p w14:paraId="15BE3DD5" w14:textId="77777777" w:rsidR="008856F7" w:rsidRPr="00431A64" w:rsidRDefault="008856F7" w:rsidP="008856F7">
      <w:pPr>
        <w:tabs>
          <w:tab w:val="left" w:pos="360"/>
          <w:tab w:val="center" w:pos="4680"/>
        </w:tabs>
        <w:suppressAutoHyphens/>
        <w:spacing w:after="0"/>
        <w:jc w:val="center"/>
        <w:rPr>
          <w:sz w:val="20"/>
          <w:szCs w:val="20"/>
        </w:rPr>
      </w:pPr>
      <w:r w:rsidRPr="00431A64">
        <w:rPr>
          <w:sz w:val="20"/>
          <w:szCs w:val="20"/>
        </w:rPr>
        <w:t>ACCOUNTING PRINCIPLES COMMITTEE</w:t>
      </w:r>
    </w:p>
    <w:p w14:paraId="3E56D7BD" w14:textId="77777777" w:rsidR="008856F7" w:rsidRPr="00431A64" w:rsidRDefault="008856F7" w:rsidP="008856F7">
      <w:pPr>
        <w:tabs>
          <w:tab w:val="center" w:pos="4680"/>
        </w:tabs>
        <w:suppressAutoHyphens/>
        <w:spacing w:after="0"/>
        <w:jc w:val="center"/>
        <w:rPr>
          <w:sz w:val="20"/>
          <w:szCs w:val="20"/>
        </w:rPr>
      </w:pPr>
      <w:r w:rsidRPr="00431A64">
        <w:rPr>
          <w:sz w:val="20"/>
          <w:szCs w:val="20"/>
        </w:rPr>
        <w:t>ORGANIZATION AND OPERATING PROCEDURES</w:t>
      </w:r>
    </w:p>
    <w:p w14:paraId="249F52D1" w14:textId="77777777" w:rsidR="008856F7" w:rsidRPr="00431A64" w:rsidRDefault="008856F7" w:rsidP="008856F7">
      <w:pPr>
        <w:tabs>
          <w:tab w:val="center" w:pos="4680"/>
        </w:tabs>
        <w:suppressAutoHyphens/>
        <w:spacing w:after="0"/>
        <w:jc w:val="center"/>
        <w:rPr>
          <w:sz w:val="20"/>
          <w:szCs w:val="20"/>
        </w:rPr>
      </w:pPr>
      <w:r w:rsidRPr="00431A64">
        <w:rPr>
          <w:sz w:val="20"/>
          <w:szCs w:val="20"/>
        </w:rPr>
        <w:t>2017-2018</w:t>
      </w:r>
    </w:p>
    <w:p w14:paraId="0F38D7A6" w14:textId="77777777" w:rsidR="008856F7" w:rsidRPr="00C458D7" w:rsidRDefault="008856F7" w:rsidP="008856F7">
      <w:pPr>
        <w:pStyle w:val="NoSpacing"/>
        <w:rPr>
          <w:sz w:val="20"/>
          <w:szCs w:val="20"/>
        </w:rPr>
      </w:pPr>
    </w:p>
    <w:p w14:paraId="12B5A5DE" w14:textId="77777777" w:rsidR="008856F7" w:rsidRDefault="008856F7" w:rsidP="008856F7">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5DA8EFB7" w14:textId="77777777" w:rsidR="008856F7" w:rsidRPr="00C458D7" w:rsidRDefault="008856F7" w:rsidP="008856F7">
      <w:pPr>
        <w:pStyle w:val="NoSpacing"/>
        <w:jc w:val="both"/>
        <w:rPr>
          <w:spacing w:val="-3"/>
          <w:sz w:val="20"/>
          <w:szCs w:val="20"/>
        </w:rPr>
      </w:pPr>
    </w:p>
    <w:p w14:paraId="350136EB" w14:textId="77777777" w:rsidR="008856F7" w:rsidRDefault="008856F7" w:rsidP="008856F7">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0AA49D61" w14:textId="77777777" w:rsidR="008856F7" w:rsidRPr="00C458D7" w:rsidRDefault="008856F7" w:rsidP="008856F7">
      <w:pPr>
        <w:pStyle w:val="NoSpacing"/>
        <w:jc w:val="both"/>
        <w:rPr>
          <w:b/>
          <w:spacing w:val="-3"/>
          <w:sz w:val="20"/>
          <w:szCs w:val="20"/>
        </w:rPr>
      </w:pPr>
    </w:p>
    <w:p w14:paraId="68365B11" w14:textId="77777777" w:rsidR="008856F7" w:rsidRPr="00431A64" w:rsidRDefault="008856F7" w:rsidP="008856F7">
      <w:pPr>
        <w:tabs>
          <w:tab w:val="left" w:pos="-720"/>
        </w:tabs>
        <w:suppressAutoHyphens/>
        <w:spacing w:after="0"/>
        <w:jc w:val="both"/>
        <w:rPr>
          <w:b/>
          <w:spacing w:val="-3"/>
          <w:sz w:val="20"/>
          <w:szCs w:val="20"/>
        </w:rPr>
      </w:pPr>
      <w:r w:rsidRPr="00431A64">
        <w:rPr>
          <w:b/>
          <w:spacing w:val="-3"/>
          <w:sz w:val="20"/>
          <w:szCs w:val="20"/>
        </w:rPr>
        <w:t>Public Accounting Firms:</w:t>
      </w:r>
    </w:p>
    <w:p w14:paraId="08508A4C" w14:textId="77777777" w:rsidR="008856F7" w:rsidRPr="00431A64" w:rsidRDefault="008856F7" w:rsidP="008856F7">
      <w:pPr>
        <w:tabs>
          <w:tab w:val="left" w:pos="-720"/>
        </w:tabs>
        <w:suppressAutoHyphens/>
        <w:spacing w:after="0"/>
        <w:jc w:val="both"/>
        <w:rPr>
          <w:b/>
          <w:spacing w:val="-3"/>
          <w:sz w:val="20"/>
          <w:szCs w:val="20"/>
        </w:rPr>
      </w:pPr>
      <w:r w:rsidRPr="00431A64">
        <w:rPr>
          <w:b/>
          <w:spacing w:val="-3"/>
          <w:sz w:val="20"/>
          <w:szCs w:val="20"/>
        </w:rPr>
        <w:t xml:space="preserve">   Large: </w:t>
      </w:r>
      <w:r w:rsidRPr="00431A64">
        <w:rPr>
          <w:spacing w:val="-3"/>
          <w:sz w:val="20"/>
          <w:szCs w:val="20"/>
        </w:rPr>
        <w:t>(national &amp; regional)</w:t>
      </w:r>
    </w:p>
    <w:p w14:paraId="14D64766" w14:textId="77777777" w:rsidR="008856F7" w:rsidRPr="00C458D7" w:rsidRDefault="008856F7" w:rsidP="008856F7">
      <w:pPr>
        <w:pStyle w:val="NoSpacing"/>
        <w:tabs>
          <w:tab w:val="left" w:pos="360"/>
        </w:tabs>
        <w:rPr>
          <w:sz w:val="20"/>
          <w:szCs w:val="20"/>
        </w:rPr>
      </w:pPr>
      <w:r>
        <w:rPr>
          <w:sz w:val="20"/>
          <w:szCs w:val="20"/>
          <w:lang w:val="fr-FR"/>
        </w:rPr>
        <w:tab/>
      </w:r>
      <w:r w:rsidRPr="00C458D7">
        <w:rPr>
          <w:sz w:val="20"/>
          <w:szCs w:val="20"/>
          <w:lang w:val="fr-FR"/>
        </w:rPr>
        <w:t xml:space="preserve">Timothy Bellazzini, CPA                         </w:t>
      </w:r>
      <w:r>
        <w:rPr>
          <w:sz w:val="20"/>
          <w:szCs w:val="20"/>
          <w:lang w:val="fr-FR"/>
        </w:rPr>
        <w:t xml:space="preserve">            </w:t>
      </w:r>
      <w:r>
        <w:rPr>
          <w:sz w:val="20"/>
          <w:szCs w:val="20"/>
          <w:lang w:val="fr-FR"/>
        </w:rPr>
        <w:tab/>
        <w:t>S</w:t>
      </w:r>
      <w:r w:rsidRPr="00C458D7">
        <w:rPr>
          <w:sz w:val="20"/>
          <w:szCs w:val="20"/>
          <w:lang w:val="fr-FR"/>
        </w:rPr>
        <w:t>ikich LLP</w:t>
      </w:r>
    </w:p>
    <w:p w14:paraId="7B7DD9F6" w14:textId="77777777" w:rsidR="008856F7" w:rsidRPr="00C458D7" w:rsidRDefault="008856F7" w:rsidP="008856F7">
      <w:pPr>
        <w:pStyle w:val="NoSpacing"/>
        <w:tabs>
          <w:tab w:val="left" w:pos="360"/>
        </w:tabs>
        <w:rPr>
          <w:sz w:val="20"/>
          <w:szCs w:val="20"/>
        </w:rPr>
      </w:pPr>
      <w:r w:rsidRPr="00C458D7">
        <w:rPr>
          <w:sz w:val="20"/>
          <w:szCs w:val="20"/>
        </w:rPr>
        <w:t xml:space="preserve">       </w:t>
      </w:r>
      <w:r>
        <w:rPr>
          <w:sz w:val="20"/>
          <w:szCs w:val="20"/>
        </w:rPr>
        <w:tab/>
      </w:r>
      <w:r w:rsidRPr="00C458D7">
        <w:rPr>
          <w:sz w:val="20"/>
          <w:szCs w:val="20"/>
        </w:rPr>
        <w:t>Jared Bourgeois,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 xml:space="preserve">PricewaterhouseCoopers LLP </w:t>
      </w:r>
    </w:p>
    <w:p w14:paraId="261F9E44" w14:textId="77777777" w:rsidR="008856F7" w:rsidRPr="00C458D7" w:rsidRDefault="008856F7" w:rsidP="008856F7">
      <w:pPr>
        <w:pStyle w:val="NoSpacing"/>
        <w:tabs>
          <w:tab w:val="left" w:pos="360"/>
        </w:tabs>
        <w:rPr>
          <w:sz w:val="20"/>
          <w:szCs w:val="20"/>
        </w:rPr>
      </w:pPr>
      <w:r w:rsidRPr="00C458D7">
        <w:rPr>
          <w:sz w:val="20"/>
          <w:szCs w:val="20"/>
        </w:rPr>
        <w:tab/>
        <w:t>Ryan Brady, CPA (Chair)</w:t>
      </w:r>
      <w:r w:rsidRPr="00C458D7">
        <w:rPr>
          <w:sz w:val="20"/>
          <w:szCs w:val="20"/>
        </w:rPr>
        <w:tab/>
      </w:r>
      <w:r w:rsidRPr="00C458D7">
        <w:rPr>
          <w:sz w:val="20"/>
          <w:szCs w:val="20"/>
        </w:rPr>
        <w:tab/>
      </w:r>
      <w:r>
        <w:rPr>
          <w:sz w:val="20"/>
          <w:szCs w:val="20"/>
        </w:rPr>
        <w:tab/>
      </w:r>
      <w:r w:rsidRPr="00C458D7">
        <w:rPr>
          <w:sz w:val="20"/>
          <w:szCs w:val="20"/>
        </w:rPr>
        <w:t>Grant Thornton LLP</w:t>
      </w:r>
    </w:p>
    <w:p w14:paraId="26075FC3" w14:textId="77777777" w:rsidR="008856F7" w:rsidRPr="00C458D7" w:rsidRDefault="008856F7" w:rsidP="008856F7">
      <w:pPr>
        <w:pStyle w:val="NoSpacing"/>
        <w:tabs>
          <w:tab w:val="left" w:pos="360"/>
        </w:tabs>
        <w:rPr>
          <w:sz w:val="20"/>
          <w:szCs w:val="20"/>
        </w:rPr>
      </w:pPr>
      <w:r w:rsidRPr="00C458D7">
        <w:rPr>
          <w:sz w:val="20"/>
          <w:szCs w:val="20"/>
        </w:rPr>
        <w:tab/>
        <w:t>Jason Eaves, CPA                                                  Crowe Horwath LLP</w:t>
      </w:r>
    </w:p>
    <w:p w14:paraId="03F17324" w14:textId="77777777" w:rsidR="008856F7" w:rsidRPr="00C458D7" w:rsidRDefault="008856F7" w:rsidP="008856F7">
      <w:pPr>
        <w:pStyle w:val="NoSpacing"/>
        <w:tabs>
          <w:tab w:val="left" w:pos="360"/>
        </w:tabs>
        <w:rPr>
          <w:sz w:val="20"/>
          <w:szCs w:val="20"/>
        </w:rPr>
      </w:pPr>
      <w:r w:rsidRPr="00C458D7">
        <w:rPr>
          <w:sz w:val="20"/>
          <w:szCs w:val="20"/>
        </w:rPr>
        <w:tab/>
        <w:t>William Keirse,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Ernst &amp; Young LLP</w:t>
      </w:r>
    </w:p>
    <w:p w14:paraId="60DAE180" w14:textId="77777777" w:rsidR="008856F7" w:rsidRPr="00C458D7" w:rsidRDefault="008856F7" w:rsidP="008856F7">
      <w:pPr>
        <w:pStyle w:val="NoSpacing"/>
        <w:tabs>
          <w:tab w:val="left" w:pos="360"/>
        </w:tabs>
        <w:rPr>
          <w:sz w:val="20"/>
          <w:szCs w:val="20"/>
        </w:rPr>
      </w:pPr>
      <w:r w:rsidRPr="00C458D7">
        <w:rPr>
          <w:sz w:val="20"/>
          <w:szCs w:val="20"/>
        </w:rPr>
        <w:tab/>
        <w:t xml:space="preserve">Scott Lehman, CPA </w:t>
      </w:r>
      <w:r w:rsidRPr="00C458D7">
        <w:rPr>
          <w:sz w:val="20"/>
          <w:szCs w:val="20"/>
        </w:rPr>
        <w:tab/>
        <w:t xml:space="preserve">  </w:t>
      </w:r>
      <w:r>
        <w:rPr>
          <w:sz w:val="20"/>
          <w:szCs w:val="20"/>
        </w:rPr>
        <w:tab/>
      </w:r>
      <w:r>
        <w:rPr>
          <w:sz w:val="20"/>
          <w:szCs w:val="20"/>
        </w:rPr>
        <w:tab/>
      </w:r>
      <w:r>
        <w:rPr>
          <w:sz w:val="20"/>
          <w:szCs w:val="20"/>
        </w:rPr>
        <w:tab/>
      </w:r>
      <w:r w:rsidRPr="00C458D7">
        <w:rPr>
          <w:sz w:val="20"/>
          <w:szCs w:val="20"/>
        </w:rPr>
        <w:t>Crowe Horwath LLP</w:t>
      </w:r>
    </w:p>
    <w:p w14:paraId="4809D8E5" w14:textId="77777777" w:rsidR="008856F7" w:rsidRPr="00C458D7" w:rsidRDefault="008856F7" w:rsidP="008856F7">
      <w:pPr>
        <w:pStyle w:val="NoSpacing"/>
        <w:tabs>
          <w:tab w:val="left" w:pos="360"/>
        </w:tabs>
        <w:rPr>
          <w:sz w:val="20"/>
          <w:szCs w:val="20"/>
          <w:lang w:val="fr-FR"/>
        </w:rPr>
      </w:pPr>
      <w:r w:rsidRPr="00C458D7">
        <w:rPr>
          <w:sz w:val="20"/>
          <w:szCs w:val="20"/>
        </w:rPr>
        <w:t xml:space="preserve">       </w:t>
      </w:r>
      <w:r w:rsidRPr="00C458D7">
        <w:rPr>
          <w:sz w:val="20"/>
          <w:szCs w:val="20"/>
          <w:lang w:val="fr-FR"/>
        </w:rPr>
        <w:t>Melissa Lynch, CPA                                              Plante Moran, PLLC</w:t>
      </w:r>
    </w:p>
    <w:p w14:paraId="3CD2AA86" w14:textId="77777777" w:rsidR="008856F7" w:rsidRPr="00C458D7" w:rsidRDefault="008856F7" w:rsidP="008856F7">
      <w:pPr>
        <w:pStyle w:val="NoSpacing"/>
        <w:tabs>
          <w:tab w:val="left" w:pos="360"/>
        </w:tabs>
        <w:rPr>
          <w:sz w:val="20"/>
          <w:szCs w:val="20"/>
          <w:lang w:val="fr-FR"/>
        </w:rPr>
      </w:pPr>
      <w:r w:rsidRPr="00C458D7">
        <w:rPr>
          <w:sz w:val="20"/>
          <w:szCs w:val="20"/>
          <w:lang w:val="fr-FR"/>
        </w:rPr>
        <w:t xml:space="preserve">       Reid Mitchell, CPA</w:t>
      </w:r>
      <w:r w:rsidRPr="00C458D7">
        <w:rPr>
          <w:sz w:val="20"/>
          <w:szCs w:val="20"/>
        </w:rPr>
        <w:tab/>
      </w:r>
      <w:r w:rsidRPr="00C458D7">
        <w:rPr>
          <w:sz w:val="20"/>
          <w:szCs w:val="20"/>
          <w:lang w:val="fr-FR"/>
        </w:rPr>
        <w:t xml:space="preserve">  </w:t>
      </w:r>
      <w:r>
        <w:rPr>
          <w:sz w:val="20"/>
          <w:szCs w:val="20"/>
          <w:lang w:val="fr-FR"/>
        </w:rPr>
        <w:tab/>
      </w:r>
      <w:r>
        <w:rPr>
          <w:sz w:val="20"/>
          <w:szCs w:val="20"/>
          <w:lang w:val="fr-FR"/>
        </w:rPr>
        <w:tab/>
      </w:r>
      <w:r>
        <w:rPr>
          <w:sz w:val="20"/>
          <w:szCs w:val="20"/>
          <w:lang w:val="fr-FR"/>
        </w:rPr>
        <w:tab/>
      </w:r>
      <w:r w:rsidRPr="00C458D7">
        <w:rPr>
          <w:sz w:val="20"/>
          <w:szCs w:val="20"/>
          <w:lang w:val="fr-FR"/>
        </w:rPr>
        <w:t>Wipfli LLP</w:t>
      </w:r>
    </w:p>
    <w:p w14:paraId="78E4AEA4" w14:textId="77777777" w:rsidR="008856F7" w:rsidRPr="00C458D7" w:rsidRDefault="008856F7" w:rsidP="008856F7">
      <w:pPr>
        <w:pStyle w:val="NoSpacing"/>
        <w:tabs>
          <w:tab w:val="left" w:pos="360"/>
        </w:tabs>
        <w:rPr>
          <w:sz w:val="20"/>
          <w:szCs w:val="20"/>
        </w:rPr>
      </w:pPr>
      <w:r w:rsidRPr="00C458D7">
        <w:rPr>
          <w:sz w:val="20"/>
          <w:szCs w:val="20"/>
        </w:rPr>
        <w:t xml:space="preserve">       Matthew Mitzen, CPA</w:t>
      </w:r>
      <w:r w:rsidRPr="00C458D7">
        <w:rPr>
          <w:sz w:val="20"/>
          <w:szCs w:val="20"/>
        </w:rPr>
        <w:tab/>
        <w:t xml:space="preserve">  </w:t>
      </w:r>
      <w:r>
        <w:rPr>
          <w:sz w:val="20"/>
          <w:szCs w:val="20"/>
        </w:rPr>
        <w:tab/>
      </w:r>
      <w:r>
        <w:rPr>
          <w:sz w:val="20"/>
          <w:szCs w:val="20"/>
        </w:rPr>
        <w:tab/>
      </w:r>
      <w:r w:rsidRPr="00C458D7">
        <w:rPr>
          <w:sz w:val="20"/>
          <w:szCs w:val="20"/>
        </w:rPr>
        <w:t>Marcum LLP</w:t>
      </w:r>
    </w:p>
    <w:p w14:paraId="780CD338" w14:textId="77777777" w:rsidR="008856F7" w:rsidRDefault="008856F7" w:rsidP="008856F7">
      <w:pPr>
        <w:pStyle w:val="NoSpacing"/>
        <w:tabs>
          <w:tab w:val="left" w:pos="360"/>
        </w:tabs>
        <w:ind w:left="360" w:hanging="360"/>
        <w:rPr>
          <w:sz w:val="20"/>
          <w:szCs w:val="20"/>
          <w:lang w:val="fr-FR"/>
        </w:rPr>
      </w:pPr>
      <w:r w:rsidRPr="00C458D7">
        <w:rPr>
          <w:sz w:val="20"/>
          <w:szCs w:val="20"/>
          <w:lang w:val="fr-FR"/>
        </w:rPr>
        <w:t xml:space="preserve">       Elizabeth Prossnitz, CPA</w:t>
      </w:r>
      <w:r w:rsidRPr="00C458D7">
        <w:rPr>
          <w:sz w:val="20"/>
          <w:szCs w:val="20"/>
          <w:lang w:val="fr-FR"/>
        </w:rPr>
        <w:tab/>
      </w:r>
      <w:r w:rsidRPr="00C458D7">
        <w:rPr>
          <w:sz w:val="20"/>
          <w:szCs w:val="20"/>
          <w:lang w:val="fr-FR"/>
        </w:rPr>
        <w:tab/>
      </w:r>
      <w:r>
        <w:rPr>
          <w:sz w:val="20"/>
          <w:szCs w:val="20"/>
          <w:lang w:val="fr-FR"/>
        </w:rPr>
        <w:tab/>
        <w:t>BDO USA LLP</w:t>
      </w:r>
      <w:r>
        <w:rPr>
          <w:sz w:val="20"/>
          <w:szCs w:val="20"/>
          <w:lang w:val="fr-FR"/>
        </w:rPr>
        <w:tab/>
      </w:r>
    </w:p>
    <w:p w14:paraId="1F0FFF1C" w14:textId="77777777" w:rsidR="008856F7" w:rsidRPr="00C458D7" w:rsidRDefault="008856F7" w:rsidP="008856F7">
      <w:pPr>
        <w:pStyle w:val="NoSpacing"/>
        <w:tabs>
          <w:tab w:val="left" w:pos="360"/>
        </w:tabs>
        <w:ind w:left="360" w:hanging="360"/>
        <w:rPr>
          <w:sz w:val="20"/>
          <w:szCs w:val="20"/>
          <w:lang w:val="fr-FR"/>
        </w:rPr>
      </w:pPr>
      <w:r>
        <w:rPr>
          <w:sz w:val="20"/>
          <w:szCs w:val="20"/>
          <w:lang w:val="fr-FR"/>
        </w:rPr>
        <w:t xml:space="preserve">  </w:t>
      </w:r>
      <w:r w:rsidRPr="00C458D7">
        <w:rPr>
          <w:b/>
          <w:sz w:val="20"/>
          <w:szCs w:val="20"/>
          <w:lang w:val="fr-FR"/>
        </w:rPr>
        <w:t xml:space="preserve">Medium: </w:t>
      </w:r>
      <w:r w:rsidRPr="00C458D7">
        <w:rPr>
          <w:sz w:val="20"/>
          <w:szCs w:val="20"/>
          <w:lang w:val="fr-FR"/>
        </w:rPr>
        <w:t xml:space="preserve">(more than 40 </w:t>
      </w:r>
      <w:r w:rsidRPr="00C458D7">
        <w:rPr>
          <w:sz w:val="20"/>
          <w:szCs w:val="20"/>
        </w:rPr>
        <w:t>professionals</w:t>
      </w:r>
      <w:r w:rsidRPr="00C458D7">
        <w:rPr>
          <w:sz w:val="20"/>
          <w:szCs w:val="20"/>
          <w:lang w:val="fr-FR"/>
        </w:rPr>
        <w:t>)</w:t>
      </w:r>
      <w:r w:rsidRPr="00C458D7">
        <w:rPr>
          <w:sz w:val="20"/>
          <w:szCs w:val="20"/>
          <w:lang w:val="fr-FR"/>
        </w:rPr>
        <w:br/>
        <w:t xml:space="preserve">Almira Goethe, CPA                               </w:t>
      </w:r>
      <w:r>
        <w:rPr>
          <w:sz w:val="20"/>
          <w:szCs w:val="20"/>
          <w:lang w:val="fr-FR"/>
        </w:rPr>
        <w:tab/>
      </w:r>
      <w:r>
        <w:rPr>
          <w:sz w:val="20"/>
          <w:szCs w:val="20"/>
          <w:lang w:val="fr-FR"/>
        </w:rPr>
        <w:tab/>
      </w:r>
      <w:r w:rsidRPr="00C458D7">
        <w:rPr>
          <w:sz w:val="20"/>
          <w:szCs w:val="20"/>
          <w:lang w:val="fr-FR"/>
        </w:rPr>
        <w:t>CDH, PC</w:t>
      </w:r>
    </w:p>
    <w:p w14:paraId="43BAA113" w14:textId="77777777" w:rsidR="008856F7" w:rsidRPr="00431A64" w:rsidRDefault="008856F7" w:rsidP="008856F7">
      <w:pPr>
        <w:pStyle w:val="NoSpacing"/>
        <w:tabs>
          <w:tab w:val="left" w:pos="360"/>
        </w:tabs>
        <w:rPr>
          <w:spacing w:val="-3"/>
          <w:sz w:val="20"/>
          <w:szCs w:val="20"/>
        </w:rPr>
      </w:pPr>
      <w:r>
        <w:rPr>
          <w:spacing w:val="-3"/>
          <w:sz w:val="20"/>
          <w:szCs w:val="20"/>
          <w:lang w:val="fr-FR"/>
        </w:rPr>
        <w:t xml:space="preserve">  </w:t>
      </w:r>
      <w:r>
        <w:rPr>
          <w:spacing w:val="-3"/>
          <w:sz w:val="20"/>
          <w:szCs w:val="20"/>
          <w:lang w:val="fr-FR"/>
        </w:rPr>
        <w:tab/>
      </w:r>
      <w:r w:rsidRPr="00431A64">
        <w:rPr>
          <w:spacing w:val="-3"/>
          <w:sz w:val="20"/>
          <w:szCs w:val="20"/>
        </w:rPr>
        <w:t>Michael Kidd, CPA</w:t>
      </w:r>
      <w:r w:rsidRPr="00431A64">
        <w:rPr>
          <w:spacing w:val="-3"/>
          <w:sz w:val="20"/>
          <w:szCs w:val="20"/>
        </w:rPr>
        <w:tab/>
      </w:r>
      <w:r>
        <w:rPr>
          <w:spacing w:val="-3"/>
          <w:sz w:val="20"/>
          <w:szCs w:val="20"/>
        </w:rPr>
        <w:tab/>
      </w:r>
      <w:r>
        <w:rPr>
          <w:spacing w:val="-3"/>
          <w:sz w:val="20"/>
          <w:szCs w:val="20"/>
        </w:rPr>
        <w:tab/>
      </w:r>
      <w:r w:rsidRPr="00431A64">
        <w:rPr>
          <w:spacing w:val="-3"/>
          <w:sz w:val="20"/>
          <w:szCs w:val="20"/>
        </w:rPr>
        <w:tab/>
        <w:t>Mowery &amp; Schoenfeld LLC</w:t>
      </w:r>
    </w:p>
    <w:p w14:paraId="69C22FD0" w14:textId="77777777" w:rsidR="008856F7" w:rsidRPr="00431A64" w:rsidRDefault="008856F7" w:rsidP="008856F7">
      <w:pPr>
        <w:pStyle w:val="NoSpacing"/>
        <w:tabs>
          <w:tab w:val="left" w:pos="360"/>
        </w:tabs>
        <w:rPr>
          <w:sz w:val="20"/>
          <w:szCs w:val="20"/>
        </w:rPr>
      </w:pPr>
      <w:r>
        <w:rPr>
          <w:spacing w:val="-3"/>
          <w:sz w:val="20"/>
          <w:szCs w:val="20"/>
        </w:rPr>
        <w:t xml:space="preserve">        </w:t>
      </w:r>
      <w:r w:rsidRPr="00431A64">
        <w:rPr>
          <w:spacing w:val="-3"/>
          <w:sz w:val="20"/>
          <w:szCs w:val="20"/>
        </w:rPr>
        <w:t>Danielle Martin, CPA</w:t>
      </w:r>
      <w:r w:rsidRPr="00431A64">
        <w:rPr>
          <w:spacing w:val="-3"/>
          <w:sz w:val="20"/>
          <w:szCs w:val="20"/>
        </w:rPr>
        <w:tab/>
      </w:r>
      <w:r w:rsidRPr="00431A64">
        <w:rPr>
          <w:spacing w:val="-3"/>
          <w:sz w:val="20"/>
          <w:szCs w:val="20"/>
        </w:rPr>
        <w:tab/>
      </w:r>
      <w:r>
        <w:rPr>
          <w:spacing w:val="-3"/>
          <w:sz w:val="20"/>
          <w:szCs w:val="20"/>
        </w:rPr>
        <w:tab/>
      </w:r>
      <w:r>
        <w:rPr>
          <w:spacing w:val="-3"/>
          <w:sz w:val="20"/>
          <w:szCs w:val="20"/>
        </w:rPr>
        <w:tab/>
      </w:r>
      <w:r w:rsidRPr="00431A64">
        <w:rPr>
          <w:spacing w:val="-3"/>
          <w:sz w:val="20"/>
          <w:szCs w:val="20"/>
        </w:rPr>
        <w:t>Porte Brown LLC</w:t>
      </w:r>
      <w:r w:rsidRPr="00431A64">
        <w:rPr>
          <w:spacing w:val="-3"/>
          <w:sz w:val="20"/>
          <w:szCs w:val="20"/>
        </w:rPr>
        <w:br/>
        <w:t xml:space="preserve">     </w:t>
      </w:r>
      <w:r>
        <w:rPr>
          <w:spacing w:val="-3"/>
          <w:sz w:val="20"/>
          <w:szCs w:val="20"/>
        </w:rPr>
        <w:tab/>
      </w:r>
      <w:r w:rsidRPr="00431A64">
        <w:rPr>
          <w:spacing w:val="-3"/>
          <w:sz w:val="20"/>
          <w:szCs w:val="20"/>
        </w:rPr>
        <w:t xml:space="preserve">Iryna Prokhorov, CPA                         </w:t>
      </w:r>
      <w:r>
        <w:rPr>
          <w:spacing w:val="-3"/>
          <w:sz w:val="20"/>
          <w:szCs w:val="20"/>
        </w:rPr>
        <w:t xml:space="preserve">                    </w:t>
      </w:r>
      <w:r>
        <w:rPr>
          <w:spacing w:val="-3"/>
          <w:sz w:val="20"/>
          <w:szCs w:val="20"/>
        </w:rPr>
        <w:tab/>
      </w:r>
      <w:r w:rsidRPr="00431A64">
        <w:rPr>
          <w:spacing w:val="-3"/>
          <w:sz w:val="20"/>
          <w:szCs w:val="20"/>
        </w:rPr>
        <w:t xml:space="preserve">Mueller &amp; Company, LLP  </w:t>
      </w:r>
      <w:r w:rsidRPr="00431A64">
        <w:rPr>
          <w:spacing w:val="-3"/>
          <w:sz w:val="20"/>
          <w:szCs w:val="20"/>
        </w:rPr>
        <w:br/>
      </w:r>
      <w:r w:rsidRPr="00431A64">
        <w:rPr>
          <w:snapToGrid w:val="0"/>
          <w:color w:val="000000"/>
          <w:sz w:val="20"/>
          <w:szCs w:val="20"/>
        </w:rPr>
        <w:t xml:space="preserve">    </w:t>
      </w:r>
      <w:r>
        <w:rPr>
          <w:snapToGrid w:val="0"/>
          <w:color w:val="000000"/>
          <w:sz w:val="20"/>
          <w:szCs w:val="20"/>
        </w:rPr>
        <w:tab/>
      </w:r>
      <w:r w:rsidRPr="00431A64">
        <w:rPr>
          <w:snapToGrid w:val="0"/>
          <w:color w:val="000000"/>
          <w:sz w:val="20"/>
          <w:szCs w:val="20"/>
        </w:rPr>
        <w:t xml:space="preserve">Jeffery Watson, CPA </w:t>
      </w:r>
      <w:r w:rsidRPr="00431A64">
        <w:rPr>
          <w:snapToGrid w:val="0"/>
          <w:color w:val="000000"/>
          <w:sz w:val="20"/>
          <w:szCs w:val="20"/>
        </w:rPr>
        <w:tab/>
      </w:r>
      <w:r w:rsidRPr="00431A64">
        <w:rPr>
          <w:snapToGrid w:val="0"/>
          <w:color w:val="000000"/>
          <w:sz w:val="20"/>
          <w:szCs w:val="20"/>
        </w:rPr>
        <w:tab/>
      </w:r>
      <w:r>
        <w:rPr>
          <w:snapToGrid w:val="0"/>
          <w:color w:val="000000"/>
          <w:sz w:val="20"/>
          <w:szCs w:val="20"/>
        </w:rPr>
        <w:tab/>
      </w:r>
      <w:r>
        <w:rPr>
          <w:snapToGrid w:val="0"/>
          <w:color w:val="000000"/>
          <w:sz w:val="20"/>
          <w:szCs w:val="20"/>
        </w:rPr>
        <w:tab/>
      </w:r>
      <w:r w:rsidRPr="00431A64">
        <w:rPr>
          <w:bCs/>
          <w:sz w:val="20"/>
          <w:szCs w:val="20"/>
        </w:rPr>
        <w:t>Miller Cooper &amp; Company Ltd</w:t>
      </w:r>
      <w:r w:rsidRPr="00431A64">
        <w:rPr>
          <w:spacing w:val="-3"/>
          <w:sz w:val="20"/>
          <w:szCs w:val="20"/>
        </w:rPr>
        <w:br/>
      </w:r>
      <w:r>
        <w:rPr>
          <w:b/>
          <w:spacing w:val="-3"/>
          <w:sz w:val="20"/>
          <w:szCs w:val="20"/>
        </w:rPr>
        <w:t xml:space="preserve">  </w:t>
      </w:r>
      <w:r w:rsidRPr="00431A64">
        <w:rPr>
          <w:b/>
          <w:spacing w:val="-3"/>
          <w:sz w:val="20"/>
          <w:szCs w:val="20"/>
        </w:rPr>
        <w:t xml:space="preserve">Small: </w:t>
      </w:r>
      <w:r w:rsidRPr="00431A64">
        <w:rPr>
          <w:spacing w:val="-3"/>
          <w:sz w:val="20"/>
          <w:szCs w:val="20"/>
        </w:rPr>
        <w:t>(less than 40 professionals)</w:t>
      </w:r>
      <w:r w:rsidRPr="00431A64">
        <w:rPr>
          <w:spacing w:val="-3"/>
          <w:sz w:val="20"/>
          <w:szCs w:val="20"/>
        </w:rPr>
        <w:br/>
        <w:t xml:space="preserve">     </w:t>
      </w:r>
      <w:r>
        <w:rPr>
          <w:spacing w:val="-3"/>
          <w:sz w:val="20"/>
          <w:szCs w:val="20"/>
        </w:rPr>
        <w:tab/>
      </w:r>
      <w:r w:rsidRPr="00431A64">
        <w:rPr>
          <w:spacing w:val="-3"/>
          <w:sz w:val="20"/>
          <w:szCs w:val="20"/>
        </w:rPr>
        <w:t>Peggy Brady, CPA</w:t>
      </w:r>
      <w:r w:rsidRPr="00431A64">
        <w:rPr>
          <w:spacing w:val="-3"/>
          <w:sz w:val="20"/>
          <w:szCs w:val="20"/>
        </w:rPr>
        <w:tab/>
      </w:r>
      <w:r w:rsidRPr="00431A64">
        <w:rPr>
          <w:spacing w:val="-3"/>
          <w:sz w:val="20"/>
          <w:szCs w:val="20"/>
        </w:rPr>
        <w:tab/>
      </w:r>
      <w:r>
        <w:rPr>
          <w:spacing w:val="-3"/>
          <w:sz w:val="20"/>
          <w:szCs w:val="20"/>
        </w:rPr>
        <w:tab/>
      </w:r>
      <w:r>
        <w:rPr>
          <w:spacing w:val="-3"/>
          <w:sz w:val="20"/>
          <w:szCs w:val="20"/>
        </w:rPr>
        <w:tab/>
      </w:r>
      <w:r w:rsidRPr="00431A64">
        <w:rPr>
          <w:spacing w:val="-3"/>
          <w:sz w:val="20"/>
          <w:szCs w:val="20"/>
        </w:rPr>
        <w:t>Selden Fox, Ltd.</w:t>
      </w:r>
      <w:r w:rsidRPr="00431A64">
        <w:rPr>
          <w:spacing w:val="-3"/>
          <w:sz w:val="20"/>
          <w:szCs w:val="20"/>
        </w:rPr>
        <w:br/>
        <w:t xml:space="preserve">     </w:t>
      </w:r>
      <w:r>
        <w:rPr>
          <w:spacing w:val="-3"/>
          <w:sz w:val="20"/>
          <w:szCs w:val="20"/>
        </w:rPr>
        <w:tab/>
      </w:r>
      <w:r w:rsidRPr="00431A64">
        <w:rPr>
          <w:spacing w:val="-3"/>
          <w:sz w:val="20"/>
          <w:szCs w:val="20"/>
        </w:rPr>
        <w:t xml:space="preserve">Marvin Hoffman, CPA </w:t>
      </w:r>
      <w:r w:rsidRPr="00431A64">
        <w:rPr>
          <w:spacing w:val="-3"/>
          <w:sz w:val="20"/>
          <w:szCs w:val="20"/>
        </w:rPr>
        <w:tab/>
      </w:r>
      <w:r w:rsidRPr="00431A64">
        <w:rPr>
          <w:spacing w:val="-3"/>
          <w:sz w:val="20"/>
          <w:szCs w:val="20"/>
        </w:rPr>
        <w:tab/>
      </w:r>
      <w:r>
        <w:rPr>
          <w:spacing w:val="-3"/>
          <w:sz w:val="20"/>
          <w:szCs w:val="20"/>
        </w:rPr>
        <w:tab/>
      </w:r>
      <w:r w:rsidRPr="00431A64">
        <w:rPr>
          <w:spacing w:val="-3"/>
          <w:sz w:val="20"/>
          <w:szCs w:val="20"/>
        </w:rPr>
        <w:t xml:space="preserve">Bronswick, Reicin, Pollack, Ltd. </w:t>
      </w:r>
      <w:r w:rsidRPr="00431A64">
        <w:rPr>
          <w:spacing w:val="-3"/>
          <w:sz w:val="20"/>
          <w:szCs w:val="20"/>
        </w:rPr>
        <w:br/>
        <w:t xml:space="preserve">     </w:t>
      </w:r>
      <w:r>
        <w:rPr>
          <w:spacing w:val="-3"/>
          <w:sz w:val="20"/>
          <w:szCs w:val="20"/>
        </w:rPr>
        <w:tab/>
      </w:r>
      <w:r w:rsidRPr="00431A64">
        <w:rPr>
          <w:spacing w:val="-3"/>
          <w:sz w:val="20"/>
          <w:szCs w:val="20"/>
        </w:rPr>
        <w:t>Brian Kot, CPA (Vice Chair)</w:t>
      </w:r>
      <w:r w:rsidRPr="00431A64">
        <w:rPr>
          <w:spacing w:val="-3"/>
          <w:sz w:val="20"/>
          <w:szCs w:val="20"/>
        </w:rPr>
        <w:tab/>
      </w:r>
      <w:r w:rsidRPr="00431A64">
        <w:rPr>
          <w:spacing w:val="-3"/>
          <w:sz w:val="20"/>
          <w:szCs w:val="20"/>
        </w:rPr>
        <w:tab/>
      </w:r>
      <w:r>
        <w:rPr>
          <w:spacing w:val="-3"/>
          <w:sz w:val="20"/>
          <w:szCs w:val="20"/>
        </w:rPr>
        <w:tab/>
      </w:r>
      <w:r w:rsidRPr="00431A64">
        <w:rPr>
          <w:spacing w:val="-3"/>
          <w:sz w:val="20"/>
          <w:szCs w:val="20"/>
        </w:rPr>
        <w:t>Cray Kaiser Ltd CPAs</w:t>
      </w:r>
      <w:r w:rsidRPr="00431A64">
        <w:rPr>
          <w:spacing w:val="-3"/>
          <w:sz w:val="20"/>
          <w:szCs w:val="20"/>
        </w:rPr>
        <w:br/>
        <w:t xml:space="preserve">     </w:t>
      </w:r>
      <w:r>
        <w:rPr>
          <w:spacing w:val="-3"/>
          <w:sz w:val="20"/>
          <w:szCs w:val="20"/>
        </w:rPr>
        <w:tab/>
      </w:r>
      <w:r w:rsidRPr="00431A64">
        <w:rPr>
          <w:spacing w:val="-3"/>
          <w:sz w:val="20"/>
          <w:szCs w:val="20"/>
        </w:rPr>
        <w:t>Joshua Lance, CPA</w:t>
      </w:r>
      <w:r w:rsidRPr="00431A64">
        <w:rPr>
          <w:spacing w:val="-3"/>
          <w:sz w:val="20"/>
          <w:szCs w:val="20"/>
        </w:rPr>
        <w:tab/>
      </w:r>
      <w:r>
        <w:rPr>
          <w:spacing w:val="-3"/>
          <w:sz w:val="20"/>
          <w:szCs w:val="20"/>
        </w:rPr>
        <w:t xml:space="preserve">  </w:t>
      </w:r>
      <w:r>
        <w:rPr>
          <w:spacing w:val="-3"/>
          <w:sz w:val="20"/>
          <w:szCs w:val="20"/>
        </w:rPr>
        <w:tab/>
      </w:r>
      <w:r>
        <w:rPr>
          <w:spacing w:val="-3"/>
          <w:sz w:val="20"/>
          <w:szCs w:val="20"/>
        </w:rPr>
        <w:tab/>
      </w:r>
      <w:r>
        <w:rPr>
          <w:spacing w:val="-3"/>
          <w:sz w:val="20"/>
          <w:szCs w:val="20"/>
        </w:rPr>
        <w:tab/>
      </w:r>
      <w:r w:rsidRPr="00431A64">
        <w:rPr>
          <w:sz w:val="20"/>
          <w:szCs w:val="20"/>
        </w:rPr>
        <w:t>Joshua Lance CPA, LLC</w:t>
      </w:r>
    </w:p>
    <w:p w14:paraId="59B13D91" w14:textId="77777777" w:rsidR="008856F7" w:rsidRPr="00C458D7" w:rsidRDefault="008856F7" w:rsidP="008856F7">
      <w:pPr>
        <w:pStyle w:val="NoSpacing"/>
        <w:rPr>
          <w:b/>
          <w:sz w:val="20"/>
          <w:szCs w:val="20"/>
        </w:rPr>
      </w:pPr>
      <w:r w:rsidRPr="00C458D7">
        <w:rPr>
          <w:b/>
          <w:sz w:val="20"/>
          <w:szCs w:val="20"/>
        </w:rPr>
        <w:t>Educators:</w:t>
      </w:r>
    </w:p>
    <w:p w14:paraId="7F93B8F1" w14:textId="77777777" w:rsidR="008856F7" w:rsidRPr="00C458D7" w:rsidRDefault="008856F7" w:rsidP="008856F7">
      <w:pPr>
        <w:pStyle w:val="NoSpacing"/>
        <w:tabs>
          <w:tab w:val="left" w:pos="360"/>
        </w:tabs>
        <w:rPr>
          <w:sz w:val="20"/>
          <w:szCs w:val="20"/>
        </w:rPr>
      </w:pPr>
      <w:r>
        <w:rPr>
          <w:sz w:val="20"/>
          <w:szCs w:val="20"/>
        </w:rPr>
        <w:tab/>
      </w:r>
      <w:r w:rsidRPr="00C458D7">
        <w:rPr>
          <w:sz w:val="20"/>
          <w:szCs w:val="20"/>
        </w:rPr>
        <w:t>John Hepp, CPA</w:t>
      </w:r>
      <w:r w:rsidRPr="00C458D7">
        <w:rPr>
          <w:sz w:val="20"/>
          <w:szCs w:val="20"/>
        </w:rPr>
        <w:tab/>
      </w:r>
      <w:r w:rsidRPr="00C458D7">
        <w:rPr>
          <w:sz w:val="20"/>
          <w:szCs w:val="20"/>
        </w:rPr>
        <w:tab/>
      </w:r>
      <w:r>
        <w:rPr>
          <w:sz w:val="20"/>
          <w:szCs w:val="20"/>
        </w:rPr>
        <w:tab/>
      </w:r>
      <w:r>
        <w:rPr>
          <w:sz w:val="20"/>
          <w:szCs w:val="20"/>
        </w:rPr>
        <w:tab/>
      </w:r>
      <w:r w:rsidRPr="00C458D7">
        <w:rPr>
          <w:sz w:val="20"/>
          <w:szCs w:val="20"/>
        </w:rPr>
        <w:t>University of Illinois at Urbana-Champaign</w:t>
      </w:r>
      <w:r w:rsidRPr="00C458D7">
        <w:rPr>
          <w:sz w:val="20"/>
          <w:szCs w:val="20"/>
        </w:rPr>
        <w:tab/>
      </w:r>
      <w:r w:rsidRPr="00C458D7">
        <w:rPr>
          <w:sz w:val="20"/>
          <w:szCs w:val="20"/>
        </w:rPr>
        <w:tab/>
      </w:r>
    </w:p>
    <w:p w14:paraId="612AEA83" w14:textId="77777777" w:rsidR="008856F7" w:rsidRPr="00C458D7" w:rsidRDefault="008856F7" w:rsidP="008856F7">
      <w:pPr>
        <w:pStyle w:val="NoSpacing"/>
        <w:rPr>
          <w:b/>
          <w:sz w:val="20"/>
          <w:szCs w:val="20"/>
        </w:rPr>
      </w:pPr>
      <w:r w:rsidRPr="00C458D7">
        <w:rPr>
          <w:b/>
          <w:sz w:val="20"/>
          <w:szCs w:val="20"/>
        </w:rPr>
        <w:t>Industry:</w:t>
      </w:r>
    </w:p>
    <w:p w14:paraId="46739242" w14:textId="77777777" w:rsidR="008856F7" w:rsidRPr="00C458D7" w:rsidRDefault="008856F7" w:rsidP="008856F7">
      <w:pPr>
        <w:pStyle w:val="NoSpacing"/>
        <w:tabs>
          <w:tab w:val="left" w:pos="360"/>
        </w:tabs>
        <w:rPr>
          <w:sz w:val="20"/>
          <w:szCs w:val="20"/>
        </w:rPr>
      </w:pPr>
      <w:r w:rsidRPr="00C458D7">
        <w:rPr>
          <w:sz w:val="20"/>
          <w:szCs w:val="20"/>
        </w:rPr>
        <w:tab/>
        <w:t>Rose Cammarata, CPA</w:t>
      </w:r>
      <w:r w:rsidRPr="00C458D7">
        <w:rPr>
          <w:sz w:val="20"/>
          <w:szCs w:val="20"/>
        </w:rPr>
        <w:tab/>
      </w:r>
      <w:r w:rsidRPr="00C458D7">
        <w:rPr>
          <w:sz w:val="20"/>
          <w:szCs w:val="20"/>
        </w:rPr>
        <w:tab/>
      </w:r>
      <w:r w:rsidRPr="00C458D7">
        <w:rPr>
          <w:sz w:val="20"/>
          <w:szCs w:val="20"/>
        </w:rPr>
        <w:tab/>
        <w:t>Mattersight Corp.</w:t>
      </w:r>
    </w:p>
    <w:p w14:paraId="5ABED2AE" w14:textId="77777777" w:rsidR="008856F7" w:rsidRPr="00C458D7" w:rsidRDefault="008856F7" w:rsidP="008856F7">
      <w:pPr>
        <w:pStyle w:val="NoSpacing"/>
        <w:tabs>
          <w:tab w:val="left" w:pos="360"/>
        </w:tabs>
        <w:rPr>
          <w:sz w:val="20"/>
          <w:szCs w:val="20"/>
        </w:rPr>
      </w:pPr>
      <w:r w:rsidRPr="00C458D7">
        <w:rPr>
          <w:sz w:val="20"/>
          <w:szCs w:val="20"/>
        </w:rPr>
        <w:t xml:space="preserve">       Jason Crider, CPA                                                </w:t>
      </w:r>
      <w:r>
        <w:rPr>
          <w:sz w:val="20"/>
          <w:szCs w:val="20"/>
        </w:rPr>
        <w:tab/>
      </w:r>
      <w:r w:rsidRPr="00C458D7">
        <w:rPr>
          <w:sz w:val="20"/>
          <w:szCs w:val="20"/>
        </w:rPr>
        <w:t>Molto Properties LLC</w:t>
      </w:r>
    </w:p>
    <w:p w14:paraId="65A53BD8" w14:textId="77777777" w:rsidR="008856F7" w:rsidRPr="00C458D7" w:rsidRDefault="008856F7" w:rsidP="008856F7">
      <w:pPr>
        <w:pStyle w:val="NoSpacing"/>
        <w:tabs>
          <w:tab w:val="left" w:pos="360"/>
        </w:tabs>
        <w:rPr>
          <w:sz w:val="20"/>
          <w:szCs w:val="20"/>
        </w:rPr>
      </w:pPr>
      <w:r w:rsidRPr="00C458D7">
        <w:rPr>
          <w:sz w:val="20"/>
          <w:szCs w:val="20"/>
        </w:rPr>
        <w:t xml:space="preserve">       Ashlee Earl, CPA</w:t>
      </w:r>
      <w:r w:rsidRPr="00C458D7">
        <w:rPr>
          <w:sz w:val="20"/>
          <w:szCs w:val="20"/>
        </w:rPr>
        <w:tab/>
      </w:r>
      <w:r w:rsidRPr="00C458D7">
        <w:rPr>
          <w:sz w:val="20"/>
          <w:szCs w:val="20"/>
        </w:rPr>
        <w:tab/>
      </w:r>
      <w:r w:rsidRPr="00C458D7">
        <w:rPr>
          <w:sz w:val="20"/>
          <w:szCs w:val="20"/>
        </w:rPr>
        <w:tab/>
      </w:r>
      <w:r>
        <w:rPr>
          <w:sz w:val="20"/>
          <w:szCs w:val="20"/>
        </w:rPr>
        <w:tab/>
      </w:r>
      <w:r w:rsidRPr="00C458D7">
        <w:rPr>
          <w:sz w:val="20"/>
          <w:szCs w:val="20"/>
        </w:rPr>
        <w:t>Consultant</w:t>
      </w:r>
    </w:p>
    <w:p w14:paraId="0EF5B71F" w14:textId="77777777" w:rsidR="008856F7" w:rsidRPr="00C458D7" w:rsidRDefault="008856F7" w:rsidP="008856F7">
      <w:pPr>
        <w:pStyle w:val="NoSpacing"/>
        <w:tabs>
          <w:tab w:val="left" w:pos="360"/>
        </w:tabs>
        <w:rPr>
          <w:sz w:val="20"/>
          <w:szCs w:val="20"/>
        </w:rPr>
      </w:pPr>
      <w:r w:rsidRPr="00C458D7">
        <w:rPr>
          <w:sz w:val="20"/>
          <w:szCs w:val="20"/>
        </w:rPr>
        <w:tab/>
        <w:t>Jeffrey Ellis, CPA</w:t>
      </w:r>
      <w:r w:rsidRPr="00C458D7">
        <w:rPr>
          <w:sz w:val="20"/>
          <w:szCs w:val="20"/>
        </w:rPr>
        <w:tab/>
      </w:r>
      <w:r w:rsidRPr="00C458D7">
        <w:rPr>
          <w:sz w:val="20"/>
          <w:szCs w:val="20"/>
        </w:rPr>
        <w:tab/>
      </w:r>
      <w:r w:rsidRPr="00C458D7">
        <w:rPr>
          <w:sz w:val="20"/>
          <w:szCs w:val="20"/>
        </w:rPr>
        <w:tab/>
      </w:r>
      <w:r>
        <w:rPr>
          <w:sz w:val="20"/>
          <w:szCs w:val="20"/>
        </w:rPr>
        <w:tab/>
      </w:r>
      <w:r w:rsidRPr="00C458D7">
        <w:rPr>
          <w:sz w:val="20"/>
          <w:szCs w:val="20"/>
        </w:rPr>
        <w:t xml:space="preserve">FTI Consulting, Inc. </w:t>
      </w:r>
      <w:r w:rsidRPr="00C458D7">
        <w:rPr>
          <w:sz w:val="20"/>
          <w:szCs w:val="20"/>
        </w:rPr>
        <w:tab/>
      </w:r>
    </w:p>
    <w:p w14:paraId="037ED816" w14:textId="77777777" w:rsidR="008856F7" w:rsidRPr="00C458D7" w:rsidRDefault="008856F7" w:rsidP="008856F7">
      <w:pPr>
        <w:pStyle w:val="NoSpacing"/>
        <w:tabs>
          <w:tab w:val="left" w:pos="360"/>
        </w:tabs>
        <w:rPr>
          <w:sz w:val="20"/>
          <w:szCs w:val="20"/>
          <w:lang w:val="fr-FR"/>
        </w:rPr>
      </w:pPr>
      <w:r>
        <w:rPr>
          <w:sz w:val="20"/>
          <w:szCs w:val="20"/>
        </w:rPr>
        <w:tab/>
      </w:r>
      <w:r w:rsidRPr="00C458D7">
        <w:rPr>
          <w:sz w:val="20"/>
          <w:szCs w:val="20"/>
        </w:rPr>
        <w:t xml:space="preserve">Adam Karac, CPA                                                 </w:t>
      </w:r>
      <w:r>
        <w:rPr>
          <w:sz w:val="20"/>
          <w:szCs w:val="20"/>
        </w:rPr>
        <w:tab/>
      </w:r>
      <w:r w:rsidRPr="00C458D7">
        <w:rPr>
          <w:sz w:val="20"/>
          <w:szCs w:val="20"/>
        </w:rPr>
        <w:t>Consultant</w:t>
      </w:r>
      <w:r w:rsidRPr="00C458D7">
        <w:rPr>
          <w:sz w:val="20"/>
          <w:szCs w:val="20"/>
          <w:lang w:val="fr-FR"/>
        </w:rPr>
        <w:t xml:space="preserve"> </w:t>
      </w:r>
    </w:p>
    <w:p w14:paraId="343483D5" w14:textId="77777777" w:rsidR="008856F7" w:rsidRPr="00431A64" w:rsidRDefault="008856F7" w:rsidP="008856F7">
      <w:pPr>
        <w:tabs>
          <w:tab w:val="left" w:pos="360"/>
        </w:tabs>
        <w:spacing w:after="0"/>
        <w:ind w:left="360"/>
        <w:rPr>
          <w:spacing w:val="-3"/>
          <w:sz w:val="20"/>
          <w:szCs w:val="20"/>
        </w:rPr>
      </w:pPr>
      <w:r w:rsidRPr="00431A64">
        <w:rPr>
          <w:spacing w:val="-3"/>
          <w:sz w:val="20"/>
          <w:szCs w:val="20"/>
          <w:lang w:val="fr-FR"/>
        </w:rPr>
        <w:t>Marianne Lorenz, CPA</w:t>
      </w:r>
      <w:r w:rsidRPr="00431A64">
        <w:rPr>
          <w:spacing w:val="-3"/>
          <w:sz w:val="20"/>
          <w:szCs w:val="20"/>
          <w:lang w:val="fr-FR"/>
        </w:rPr>
        <w:tab/>
      </w:r>
      <w:r w:rsidRPr="00431A64">
        <w:rPr>
          <w:spacing w:val="-3"/>
          <w:sz w:val="20"/>
          <w:szCs w:val="20"/>
          <w:lang w:val="fr-FR"/>
        </w:rPr>
        <w:tab/>
        <w:t xml:space="preserve">             </w:t>
      </w:r>
      <w:r>
        <w:rPr>
          <w:spacing w:val="-3"/>
          <w:sz w:val="20"/>
          <w:szCs w:val="20"/>
          <w:lang w:val="fr-FR"/>
        </w:rPr>
        <w:t xml:space="preserve">  </w:t>
      </w:r>
      <w:r>
        <w:rPr>
          <w:spacing w:val="-3"/>
          <w:sz w:val="20"/>
          <w:szCs w:val="20"/>
          <w:lang w:val="fr-FR"/>
        </w:rPr>
        <w:tab/>
      </w:r>
      <w:r w:rsidRPr="00431A64">
        <w:rPr>
          <w:spacing w:val="-3"/>
          <w:sz w:val="20"/>
          <w:szCs w:val="20"/>
          <w:lang w:val="fr-FR"/>
        </w:rPr>
        <w:t>AGL Resources Inc.</w:t>
      </w:r>
      <w:r w:rsidRPr="00431A64">
        <w:rPr>
          <w:spacing w:val="-3"/>
          <w:sz w:val="20"/>
          <w:szCs w:val="20"/>
          <w:lang w:val="fr-FR"/>
        </w:rPr>
        <w:br/>
      </w:r>
      <w:r w:rsidRPr="00431A64">
        <w:rPr>
          <w:spacing w:val="-3"/>
          <w:sz w:val="20"/>
          <w:szCs w:val="20"/>
        </w:rPr>
        <w:t>Michael Maffei, CPA</w:t>
      </w:r>
      <w:r w:rsidRPr="00431A64">
        <w:rPr>
          <w:spacing w:val="-3"/>
          <w:sz w:val="20"/>
          <w:szCs w:val="20"/>
        </w:rPr>
        <w:tab/>
        <w:t xml:space="preserve"> </w:t>
      </w:r>
      <w:r w:rsidRPr="00431A64">
        <w:rPr>
          <w:spacing w:val="-3"/>
          <w:sz w:val="20"/>
          <w:szCs w:val="20"/>
        </w:rPr>
        <w:tab/>
      </w:r>
      <w:r w:rsidRPr="00431A64">
        <w:rPr>
          <w:spacing w:val="-3"/>
          <w:sz w:val="20"/>
          <w:szCs w:val="20"/>
        </w:rPr>
        <w:tab/>
        <w:t xml:space="preserve">               </w:t>
      </w:r>
      <w:r w:rsidRPr="00431A64">
        <w:rPr>
          <w:spacing w:val="-3"/>
          <w:sz w:val="20"/>
          <w:szCs w:val="20"/>
        </w:rPr>
        <w:tab/>
        <w:t>GATX Corporation</w:t>
      </w:r>
    </w:p>
    <w:p w14:paraId="5DB252ED" w14:textId="77777777" w:rsidR="008856F7" w:rsidRPr="00431A64" w:rsidRDefault="008856F7" w:rsidP="008856F7">
      <w:pPr>
        <w:tabs>
          <w:tab w:val="left" w:pos="360"/>
        </w:tabs>
        <w:spacing w:after="0"/>
        <w:ind w:left="360"/>
        <w:rPr>
          <w:spacing w:val="-3"/>
          <w:sz w:val="20"/>
          <w:szCs w:val="20"/>
        </w:rPr>
      </w:pPr>
      <w:r w:rsidRPr="00431A64">
        <w:rPr>
          <w:spacing w:val="-3"/>
          <w:sz w:val="20"/>
          <w:szCs w:val="20"/>
        </w:rPr>
        <w:t xml:space="preserve">Lawrence Mocadlo, CPA                    </w:t>
      </w:r>
      <w:r>
        <w:rPr>
          <w:spacing w:val="-3"/>
          <w:sz w:val="20"/>
          <w:szCs w:val="20"/>
        </w:rPr>
        <w:t xml:space="preserve">                      </w:t>
      </w:r>
      <w:r w:rsidRPr="00431A64">
        <w:rPr>
          <w:spacing w:val="-3"/>
          <w:sz w:val="20"/>
          <w:szCs w:val="20"/>
        </w:rPr>
        <w:t>Ingersoll Machine Tools</w:t>
      </w:r>
      <w:r w:rsidRPr="00431A64">
        <w:rPr>
          <w:spacing w:val="-3"/>
          <w:sz w:val="20"/>
          <w:szCs w:val="20"/>
        </w:rPr>
        <w:br/>
        <w:t>Joshua Shenton, CPA</w:t>
      </w:r>
      <w:r w:rsidRPr="00431A64">
        <w:rPr>
          <w:spacing w:val="-3"/>
          <w:sz w:val="20"/>
          <w:szCs w:val="20"/>
        </w:rPr>
        <w:tab/>
      </w:r>
      <w:r w:rsidRPr="00431A64">
        <w:rPr>
          <w:spacing w:val="-3"/>
          <w:sz w:val="20"/>
          <w:szCs w:val="20"/>
        </w:rPr>
        <w:tab/>
      </w:r>
      <w:r w:rsidRPr="00431A64">
        <w:rPr>
          <w:spacing w:val="-3"/>
          <w:sz w:val="20"/>
          <w:szCs w:val="20"/>
        </w:rPr>
        <w:tab/>
      </w:r>
      <w:r w:rsidRPr="00431A64">
        <w:rPr>
          <w:spacing w:val="-3"/>
          <w:sz w:val="20"/>
          <w:szCs w:val="20"/>
        </w:rPr>
        <w:tab/>
      </w:r>
      <w:r>
        <w:rPr>
          <w:spacing w:val="-3"/>
          <w:sz w:val="20"/>
          <w:szCs w:val="20"/>
        </w:rPr>
        <w:t>Century Aluminum</w:t>
      </w:r>
      <w:r w:rsidRPr="00431A64">
        <w:rPr>
          <w:spacing w:val="-3"/>
          <w:sz w:val="20"/>
          <w:szCs w:val="20"/>
        </w:rPr>
        <w:t xml:space="preserve"> </w:t>
      </w:r>
      <w:r w:rsidRPr="00431A64">
        <w:rPr>
          <w:spacing w:val="-3"/>
          <w:sz w:val="20"/>
          <w:szCs w:val="20"/>
        </w:rPr>
        <w:br/>
        <w:t>Richard Tarapchak,</w:t>
      </w:r>
      <w:r>
        <w:rPr>
          <w:spacing w:val="-3"/>
          <w:sz w:val="20"/>
          <w:szCs w:val="20"/>
        </w:rPr>
        <w:t xml:space="preserve"> CPA</w:t>
      </w:r>
      <w:r>
        <w:rPr>
          <w:spacing w:val="-3"/>
          <w:sz w:val="20"/>
          <w:szCs w:val="20"/>
        </w:rPr>
        <w:tab/>
      </w:r>
      <w:r>
        <w:rPr>
          <w:spacing w:val="-3"/>
          <w:sz w:val="20"/>
          <w:szCs w:val="20"/>
        </w:rPr>
        <w:tab/>
        <w:t xml:space="preserve">               </w:t>
      </w:r>
      <w:r w:rsidRPr="00431A64">
        <w:rPr>
          <w:spacing w:val="-3"/>
          <w:sz w:val="20"/>
          <w:szCs w:val="20"/>
        </w:rPr>
        <w:t>Reynolds Group Holdings</w:t>
      </w:r>
    </w:p>
    <w:p w14:paraId="1D24320E" w14:textId="77777777" w:rsidR="008856F7" w:rsidRDefault="008856F7" w:rsidP="008856F7">
      <w:pPr>
        <w:tabs>
          <w:tab w:val="left" w:pos="360"/>
          <w:tab w:val="left" w:pos="4230"/>
        </w:tabs>
        <w:spacing w:after="0"/>
        <w:rPr>
          <w:b/>
          <w:sz w:val="20"/>
          <w:szCs w:val="20"/>
        </w:rPr>
      </w:pPr>
    </w:p>
    <w:p w14:paraId="10A10267" w14:textId="77777777" w:rsidR="008856F7" w:rsidRPr="00431A64" w:rsidRDefault="008856F7" w:rsidP="008856F7">
      <w:pPr>
        <w:tabs>
          <w:tab w:val="left" w:pos="360"/>
          <w:tab w:val="left" w:pos="4230"/>
        </w:tabs>
        <w:spacing w:after="0"/>
        <w:rPr>
          <w:b/>
          <w:sz w:val="20"/>
          <w:szCs w:val="20"/>
        </w:rPr>
      </w:pPr>
      <w:r w:rsidRPr="00431A64">
        <w:rPr>
          <w:b/>
          <w:sz w:val="20"/>
          <w:szCs w:val="20"/>
        </w:rPr>
        <w:lastRenderedPageBreak/>
        <w:t>Staff Representative:</w:t>
      </w:r>
    </w:p>
    <w:p w14:paraId="0BE5EF8E" w14:textId="77777777" w:rsidR="008856F7" w:rsidRPr="00B30CC5" w:rsidRDefault="008856F7" w:rsidP="008856F7">
      <w:pPr>
        <w:tabs>
          <w:tab w:val="left" w:pos="360"/>
        </w:tabs>
        <w:spacing w:after="0"/>
      </w:pPr>
      <w:r w:rsidRPr="00431A64">
        <w:rPr>
          <w:sz w:val="20"/>
          <w:szCs w:val="20"/>
        </w:rPr>
        <w:t xml:space="preserve">     </w:t>
      </w:r>
      <w:r>
        <w:rPr>
          <w:sz w:val="20"/>
          <w:szCs w:val="20"/>
        </w:rPr>
        <w:tab/>
      </w:r>
      <w:r w:rsidRPr="00431A64">
        <w:rPr>
          <w:sz w:val="20"/>
          <w:szCs w:val="20"/>
        </w:rPr>
        <w:t>Rafael Wiesenberg, CPA</w:t>
      </w:r>
      <w:r w:rsidRPr="00431A64">
        <w:rPr>
          <w:sz w:val="20"/>
          <w:szCs w:val="20"/>
        </w:rPr>
        <w:tab/>
      </w:r>
      <w:r w:rsidRPr="00431A64">
        <w:rPr>
          <w:sz w:val="20"/>
          <w:szCs w:val="20"/>
        </w:rPr>
        <w:tab/>
      </w:r>
      <w:r w:rsidRPr="00431A64">
        <w:rPr>
          <w:sz w:val="20"/>
          <w:szCs w:val="20"/>
        </w:rPr>
        <w:tab/>
        <w:t>Illinois CPA Society</w:t>
      </w:r>
    </w:p>
    <w:p w14:paraId="590E6867" w14:textId="40155FD5" w:rsidR="00A82D39" w:rsidRDefault="00A82D39" w:rsidP="008856F7">
      <w:pPr>
        <w:jc w:val="center"/>
        <w:rPr>
          <w:sz w:val="18"/>
          <w:szCs w:val="18"/>
        </w:rPr>
      </w:pPr>
      <w:bookmarkStart w:id="0" w:name="_GoBack"/>
      <w:bookmarkEnd w:id="0"/>
    </w:p>
    <w:sectPr w:rsidR="00A82D39" w:rsidSect="0083598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FFBC" w14:textId="77777777" w:rsidR="009D0924" w:rsidRDefault="009D0924" w:rsidP="00C07D21">
      <w:pPr>
        <w:spacing w:after="0" w:line="240" w:lineRule="auto"/>
      </w:pPr>
      <w:r>
        <w:separator/>
      </w:r>
    </w:p>
  </w:endnote>
  <w:endnote w:type="continuationSeparator" w:id="0">
    <w:p w14:paraId="61F286F9" w14:textId="77777777" w:rsidR="009D0924" w:rsidRDefault="009D0924"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93793"/>
      <w:docPartObj>
        <w:docPartGallery w:val="Page Numbers (Bottom of Page)"/>
        <w:docPartUnique/>
      </w:docPartObj>
    </w:sdtPr>
    <w:sdtEndPr>
      <w:rPr>
        <w:noProof/>
      </w:rPr>
    </w:sdtEndPr>
    <w:sdtContent>
      <w:p w14:paraId="79E353B1" w14:textId="67AFDDEE" w:rsidR="00BD7ECB" w:rsidRDefault="00BD7ECB">
        <w:pPr>
          <w:pStyle w:val="Footer"/>
          <w:jc w:val="center"/>
        </w:pPr>
        <w:r>
          <w:fldChar w:fldCharType="begin"/>
        </w:r>
        <w:r>
          <w:instrText xml:space="preserve"> PAGE   \* MERGEFORMAT </w:instrText>
        </w:r>
        <w:r>
          <w:fldChar w:fldCharType="separate"/>
        </w:r>
        <w:r w:rsidR="008856F7">
          <w:rPr>
            <w:noProof/>
          </w:rPr>
          <w:t>4</w:t>
        </w:r>
        <w:r>
          <w:rPr>
            <w:noProof/>
          </w:rPr>
          <w:fldChar w:fldCharType="end"/>
        </w:r>
      </w:p>
    </w:sdtContent>
  </w:sdt>
  <w:p w14:paraId="210EB5F9" w14:textId="77777777" w:rsidR="00BD7ECB" w:rsidRDefault="00BD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8CFE" w14:textId="77777777" w:rsidR="009D0924" w:rsidRDefault="009D0924" w:rsidP="00C07D21">
      <w:pPr>
        <w:spacing w:after="0" w:line="240" w:lineRule="auto"/>
      </w:pPr>
      <w:r>
        <w:separator/>
      </w:r>
    </w:p>
  </w:footnote>
  <w:footnote w:type="continuationSeparator" w:id="0">
    <w:p w14:paraId="286199C3" w14:textId="77777777" w:rsidR="009D0924" w:rsidRDefault="009D0924"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19F9" w14:textId="77777777" w:rsidR="00BD7ECB" w:rsidRDefault="00BD7ECB" w:rsidP="006429B1">
    <w:pPr>
      <w:pStyle w:val="Header"/>
      <w:jc w:val="center"/>
    </w:pPr>
    <w:r>
      <w:rPr>
        <w:noProof/>
      </w:rPr>
      <w:drawing>
        <wp:inline distT="0" distB="0" distL="0" distR="0" wp14:anchorId="38149BBE" wp14:editId="09A79FEB">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2C0D"/>
    <w:rsid w:val="00004376"/>
    <w:rsid w:val="0000540A"/>
    <w:rsid w:val="00005A43"/>
    <w:rsid w:val="00006FBB"/>
    <w:rsid w:val="00007C01"/>
    <w:rsid w:val="000142EA"/>
    <w:rsid w:val="00015F5C"/>
    <w:rsid w:val="000165D5"/>
    <w:rsid w:val="000205C5"/>
    <w:rsid w:val="00030982"/>
    <w:rsid w:val="00033CA4"/>
    <w:rsid w:val="000355AD"/>
    <w:rsid w:val="000355CC"/>
    <w:rsid w:val="000357B3"/>
    <w:rsid w:val="00036742"/>
    <w:rsid w:val="000369D7"/>
    <w:rsid w:val="000425EA"/>
    <w:rsid w:val="000428D9"/>
    <w:rsid w:val="00042A30"/>
    <w:rsid w:val="00050D70"/>
    <w:rsid w:val="00052BC9"/>
    <w:rsid w:val="0005517D"/>
    <w:rsid w:val="00060B2D"/>
    <w:rsid w:val="000669A0"/>
    <w:rsid w:val="0007216B"/>
    <w:rsid w:val="00073542"/>
    <w:rsid w:val="00076F8E"/>
    <w:rsid w:val="00082A58"/>
    <w:rsid w:val="00082B02"/>
    <w:rsid w:val="0008440F"/>
    <w:rsid w:val="00085888"/>
    <w:rsid w:val="0009050E"/>
    <w:rsid w:val="000933FE"/>
    <w:rsid w:val="000A093C"/>
    <w:rsid w:val="000A20B1"/>
    <w:rsid w:val="000A3FA9"/>
    <w:rsid w:val="000A44F0"/>
    <w:rsid w:val="000A5BCF"/>
    <w:rsid w:val="000A6B72"/>
    <w:rsid w:val="000B4451"/>
    <w:rsid w:val="000C1399"/>
    <w:rsid w:val="000C3AD7"/>
    <w:rsid w:val="000D1FB3"/>
    <w:rsid w:val="000D2287"/>
    <w:rsid w:val="000D2962"/>
    <w:rsid w:val="000D47BE"/>
    <w:rsid w:val="000D4CFC"/>
    <w:rsid w:val="000D7B0D"/>
    <w:rsid w:val="000E3CD4"/>
    <w:rsid w:val="000E55EB"/>
    <w:rsid w:val="000E6AA7"/>
    <w:rsid w:val="000F0804"/>
    <w:rsid w:val="000F7F99"/>
    <w:rsid w:val="00107FEC"/>
    <w:rsid w:val="00112C4E"/>
    <w:rsid w:val="0011453E"/>
    <w:rsid w:val="00116708"/>
    <w:rsid w:val="0011726D"/>
    <w:rsid w:val="00117E71"/>
    <w:rsid w:val="00120B3D"/>
    <w:rsid w:val="00122BBC"/>
    <w:rsid w:val="00123143"/>
    <w:rsid w:val="00125EDD"/>
    <w:rsid w:val="00126E1C"/>
    <w:rsid w:val="0012729D"/>
    <w:rsid w:val="00131331"/>
    <w:rsid w:val="0013468E"/>
    <w:rsid w:val="001373FD"/>
    <w:rsid w:val="001410ED"/>
    <w:rsid w:val="00145DFF"/>
    <w:rsid w:val="001476D6"/>
    <w:rsid w:val="00152D26"/>
    <w:rsid w:val="00160608"/>
    <w:rsid w:val="00160853"/>
    <w:rsid w:val="00165D4E"/>
    <w:rsid w:val="0016670E"/>
    <w:rsid w:val="001674EA"/>
    <w:rsid w:val="00170126"/>
    <w:rsid w:val="00171283"/>
    <w:rsid w:val="00171936"/>
    <w:rsid w:val="00171AE3"/>
    <w:rsid w:val="00174285"/>
    <w:rsid w:val="00176186"/>
    <w:rsid w:val="001832B0"/>
    <w:rsid w:val="001860C0"/>
    <w:rsid w:val="001864B1"/>
    <w:rsid w:val="00186D38"/>
    <w:rsid w:val="001932CA"/>
    <w:rsid w:val="00194472"/>
    <w:rsid w:val="001A02E7"/>
    <w:rsid w:val="001A49DB"/>
    <w:rsid w:val="001A791C"/>
    <w:rsid w:val="001B0429"/>
    <w:rsid w:val="001B105C"/>
    <w:rsid w:val="001B1CF8"/>
    <w:rsid w:val="001B3F79"/>
    <w:rsid w:val="001C06AB"/>
    <w:rsid w:val="001C4781"/>
    <w:rsid w:val="001C6257"/>
    <w:rsid w:val="001D009B"/>
    <w:rsid w:val="001D229D"/>
    <w:rsid w:val="001D3215"/>
    <w:rsid w:val="001D5FBB"/>
    <w:rsid w:val="001D79D0"/>
    <w:rsid w:val="001D79EE"/>
    <w:rsid w:val="001F26CC"/>
    <w:rsid w:val="00205CF6"/>
    <w:rsid w:val="00210D3B"/>
    <w:rsid w:val="00213866"/>
    <w:rsid w:val="00214696"/>
    <w:rsid w:val="00216DA8"/>
    <w:rsid w:val="00217C14"/>
    <w:rsid w:val="00227C4F"/>
    <w:rsid w:val="00230273"/>
    <w:rsid w:val="00234EB5"/>
    <w:rsid w:val="002377DA"/>
    <w:rsid w:val="0024269F"/>
    <w:rsid w:val="002437EC"/>
    <w:rsid w:val="0024624C"/>
    <w:rsid w:val="00246E3D"/>
    <w:rsid w:val="002537CF"/>
    <w:rsid w:val="00254FFE"/>
    <w:rsid w:val="002631AA"/>
    <w:rsid w:val="0026355B"/>
    <w:rsid w:val="00265659"/>
    <w:rsid w:val="00265C19"/>
    <w:rsid w:val="00267ACA"/>
    <w:rsid w:val="00270D5D"/>
    <w:rsid w:val="002807D0"/>
    <w:rsid w:val="002825B4"/>
    <w:rsid w:val="002853F7"/>
    <w:rsid w:val="00285F1C"/>
    <w:rsid w:val="00291411"/>
    <w:rsid w:val="00291510"/>
    <w:rsid w:val="00292017"/>
    <w:rsid w:val="00294DC8"/>
    <w:rsid w:val="00294F5A"/>
    <w:rsid w:val="00296D5A"/>
    <w:rsid w:val="00297FAC"/>
    <w:rsid w:val="002A0322"/>
    <w:rsid w:val="002A0976"/>
    <w:rsid w:val="002A29B2"/>
    <w:rsid w:val="002A2A66"/>
    <w:rsid w:val="002A57B5"/>
    <w:rsid w:val="002A6821"/>
    <w:rsid w:val="002A7DE1"/>
    <w:rsid w:val="002B1447"/>
    <w:rsid w:val="002B3F2F"/>
    <w:rsid w:val="002B686F"/>
    <w:rsid w:val="002B725D"/>
    <w:rsid w:val="002C0FD7"/>
    <w:rsid w:val="002C1FB8"/>
    <w:rsid w:val="002C4712"/>
    <w:rsid w:val="002C4993"/>
    <w:rsid w:val="002C5D0E"/>
    <w:rsid w:val="002C5F65"/>
    <w:rsid w:val="002C690C"/>
    <w:rsid w:val="002D5740"/>
    <w:rsid w:val="002D74CA"/>
    <w:rsid w:val="002D7F15"/>
    <w:rsid w:val="002E285D"/>
    <w:rsid w:val="002E70AB"/>
    <w:rsid w:val="002F1C78"/>
    <w:rsid w:val="002F4DA8"/>
    <w:rsid w:val="002F57E5"/>
    <w:rsid w:val="002F640C"/>
    <w:rsid w:val="002F69AD"/>
    <w:rsid w:val="0030193A"/>
    <w:rsid w:val="00303381"/>
    <w:rsid w:val="003033B8"/>
    <w:rsid w:val="0030432E"/>
    <w:rsid w:val="003065C7"/>
    <w:rsid w:val="003144A1"/>
    <w:rsid w:val="00315FBB"/>
    <w:rsid w:val="00316CB2"/>
    <w:rsid w:val="00320473"/>
    <w:rsid w:val="00321BBD"/>
    <w:rsid w:val="00341352"/>
    <w:rsid w:val="00341D0A"/>
    <w:rsid w:val="00344E59"/>
    <w:rsid w:val="003458FA"/>
    <w:rsid w:val="00347085"/>
    <w:rsid w:val="00347677"/>
    <w:rsid w:val="00347B8D"/>
    <w:rsid w:val="0035106E"/>
    <w:rsid w:val="00353E39"/>
    <w:rsid w:val="003543C5"/>
    <w:rsid w:val="00357C92"/>
    <w:rsid w:val="00371E04"/>
    <w:rsid w:val="00376379"/>
    <w:rsid w:val="00377B7B"/>
    <w:rsid w:val="00380A7A"/>
    <w:rsid w:val="003814B4"/>
    <w:rsid w:val="00383D03"/>
    <w:rsid w:val="00383F6D"/>
    <w:rsid w:val="00387C98"/>
    <w:rsid w:val="0039097F"/>
    <w:rsid w:val="00392C39"/>
    <w:rsid w:val="00392D06"/>
    <w:rsid w:val="003A0467"/>
    <w:rsid w:val="003A07AE"/>
    <w:rsid w:val="003A53E2"/>
    <w:rsid w:val="003A7E3A"/>
    <w:rsid w:val="003B06E2"/>
    <w:rsid w:val="003C0300"/>
    <w:rsid w:val="003C071F"/>
    <w:rsid w:val="003C3F61"/>
    <w:rsid w:val="003C568A"/>
    <w:rsid w:val="003C774E"/>
    <w:rsid w:val="003C7BD9"/>
    <w:rsid w:val="003D2B85"/>
    <w:rsid w:val="003D44A5"/>
    <w:rsid w:val="003D4BFC"/>
    <w:rsid w:val="003E6D96"/>
    <w:rsid w:val="003F17CA"/>
    <w:rsid w:val="003F2057"/>
    <w:rsid w:val="003F2DB1"/>
    <w:rsid w:val="003F3CCF"/>
    <w:rsid w:val="003F63B5"/>
    <w:rsid w:val="004007E7"/>
    <w:rsid w:val="00403D79"/>
    <w:rsid w:val="00407C2F"/>
    <w:rsid w:val="00415EC8"/>
    <w:rsid w:val="0041714B"/>
    <w:rsid w:val="004218FF"/>
    <w:rsid w:val="00425ACC"/>
    <w:rsid w:val="0043764D"/>
    <w:rsid w:val="00437DC4"/>
    <w:rsid w:val="00440186"/>
    <w:rsid w:val="00443E9E"/>
    <w:rsid w:val="00452EDD"/>
    <w:rsid w:val="00453EAA"/>
    <w:rsid w:val="00455A3C"/>
    <w:rsid w:val="00456248"/>
    <w:rsid w:val="00456BED"/>
    <w:rsid w:val="0046173A"/>
    <w:rsid w:val="004653E5"/>
    <w:rsid w:val="00473B4A"/>
    <w:rsid w:val="00476BC9"/>
    <w:rsid w:val="00482C0E"/>
    <w:rsid w:val="00483CC0"/>
    <w:rsid w:val="004843CB"/>
    <w:rsid w:val="004857F4"/>
    <w:rsid w:val="004878C9"/>
    <w:rsid w:val="004952E0"/>
    <w:rsid w:val="004A0380"/>
    <w:rsid w:val="004A2D3A"/>
    <w:rsid w:val="004A614C"/>
    <w:rsid w:val="004B24F6"/>
    <w:rsid w:val="004B52D3"/>
    <w:rsid w:val="004C1A16"/>
    <w:rsid w:val="004C2DCA"/>
    <w:rsid w:val="004C3681"/>
    <w:rsid w:val="004C7977"/>
    <w:rsid w:val="004C7C02"/>
    <w:rsid w:val="004D0B2F"/>
    <w:rsid w:val="004D1C90"/>
    <w:rsid w:val="004D3643"/>
    <w:rsid w:val="004D587C"/>
    <w:rsid w:val="004D6862"/>
    <w:rsid w:val="004D7F3E"/>
    <w:rsid w:val="004E2126"/>
    <w:rsid w:val="004E2E28"/>
    <w:rsid w:val="004E4BAA"/>
    <w:rsid w:val="004E4E3E"/>
    <w:rsid w:val="004E7B18"/>
    <w:rsid w:val="00503B6B"/>
    <w:rsid w:val="005069E0"/>
    <w:rsid w:val="00512916"/>
    <w:rsid w:val="00515C4D"/>
    <w:rsid w:val="00517FA2"/>
    <w:rsid w:val="005226CD"/>
    <w:rsid w:val="005229F1"/>
    <w:rsid w:val="00522CA3"/>
    <w:rsid w:val="00523330"/>
    <w:rsid w:val="005251D7"/>
    <w:rsid w:val="00526D3A"/>
    <w:rsid w:val="00543E5E"/>
    <w:rsid w:val="00553D03"/>
    <w:rsid w:val="00554979"/>
    <w:rsid w:val="00556943"/>
    <w:rsid w:val="00565C7C"/>
    <w:rsid w:val="00572D60"/>
    <w:rsid w:val="00572F95"/>
    <w:rsid w:val="0057628A"/>
    <w:rsid w:val="0058019E"/>
    <w:rsid w:val="00580524"/>
    <w:rsid w:val="00582667"/>
    <w:rsid w:val="00590E71"/>
    <w:rsid w:val="00593157"/>
    <w:rsid w:val="00594184"/>
    <w:rsid w:val="00594BD8"/>
    <w:rsid w:val="00595E2C"/>
    <w:rsid w:val="005969E2"/>
    <w:rsid w:val="00596D36"/>
    <w:rsid w:val="005A168C"/>
    <w:rsid w:val="005B06BF"/>
    <w:rsid w:val="005B2447"/>
    <w:rsid w:val="005B5BDF"/>
    <w:rsid w:val="005B695E"/>
    <w:rsid w:val="005C148C"/>
    <w:rsid w:val="005C2DB4"/>
    <w:rsid w:val="005C629B"/>
    <w:rsid w:val="005C74AA"/>
    <w:rsid w:val="005D0E47"/>
    <w:rsid w:val="005D1F31"/>
    <w:rsid w:val="005D3892"/>
    <w:rsid w:val="005D6CBB"/>
    <w:rsid w:val="005D7AD3"/>
    <w:rsid w:val="005E0C54"/>
    <w:rsid w:val="005E2667"/>
    <w:rsid w:val="005F25C8"/>
    <w:rsid w:val="005F3210"/>
    <w:rsid w:val="005F434F"/>
    <w:rsid w:val="00600552"/>
    <w:rsid w:val="006063A7"/>
    <w:rsid w:val="00607BE2"/>
    <w:rsid w:val="006107EA"/>
    <w:rsid w:val="00621795"/>
    <w:rsid w:val="00623199"/>
    <w:rsid w:val="00623CDA"/>
    <w:rsid w:val="00631F9E"/>
    <w:rsid w:val="00633DD6"/>
    <w:rsid w:val="006429B1"/>
    <w:rsid w:val="006466A3"/>
    <w:rsid w:val="006534C8"/>
    <w:rsid w:val="00656D0E"/>
    <w:rsid w:val="00660DD9"/>
    <w:rsid w:val="00660FAA"/>
    <w:rsid w:val="00671140"/>
    <w:rsid w:val="00675508"/>
    <w:rsid w:val="00677BD2"/>
    <w:rsid w:val="00682D9C"/>
    <w:rsid w:val="00684637"/>
    <w:rsid w:val="00686600"/>
    <w:rsid w:val="00695769"/>
    <w:rsid w:val="0069581C"/>
    <w:rsid w:val="006A1311"/>
    <w:rsid w:val="006B0335"/>
    <w:rsid w:val="006B63FE"/>
    <w:rsid w:val="006B6654"/>
    <w:rsid w:val="006C394A"/>
    <w:rsid w:val="006D4657"/>
    <w:rsid w:val="006D62AB"/>
    <w:rsid w:val="006D7FE5"/>
    <w:rsid w:val="006E04FA"/>
    <w:rsid w:val="006E5A23"/>
    <w:rsid w:val="006E7763"/>
    <w:rsid w:val="006F1EF9"/>
    <w:rsid w:val="006F4236"/>
    <w:rsid w:val="006F47C1"/>
    <w:rsid w:val="006F5863"/>
    <w:rsid w:val="00704973"/>
    <w:rsid w:val="00705AB5"/>
    <w:rsid w:val="00705E17"/>
    <w:rsid w:val="00712B14"/>
    <w:rsid w:val="007146CF"/>
    <w:rsid w:val="00714F6A"/>
    <w:rsid w:val="00723E93"/>
    <w:rsid w:val="00724C0A"/>
    <w:rsid w:val="007264C5"/>
    <w:rsid w:val="00726BD8"/>
    <w:rsid w:val="00727F73"/>
    <w:rsid w:val="007368CD"/>
    <w:rsid w:val="00740297"/>
    <w:rsid w:val="00741C9F"/>
    <w:rsid w:val="00751A61"/>
    <w:rsid w:val="00753A96"/>
    <w:rsid w:val="0076105E"/>
    <w:rsid w:val="007615EB"/>
    <w:rsid w:val="007718DC"/>
    <w:rsid w:val="00771C0D"/>
    <w:rsid w:val="00772526"/>
    <w:rsid w:val="00773E11"/>
    <w:rsid w:val="007751A7"/>
    <w:rsid w:val="00775707"/>
    <w:rsid w:val="0077651D"/>
    <w:rsid w:val="0078296B"/>
    <w:rsid w:val="00783CD4"/>
    <w:rsid w:val="00792D30"/>
    <w:rsid w:val="00795625"/>
    <w:rsid w:val="00796D94"/>
    <w:rsid w:val="007B3768"/>
    <w:rsid w:val="007B4E45"/>
    <w:rsid w:val="007B669A"/>
    <w:rsid w:val="007C2442"/>
    <w:rsid w:val="007C532D"/>
    <w:rsid w:val="007D7145"/>
    <w:rsid w:val="007E089F"/>
    <w:rsid w:val="007E3EA5"/>
    <w:rsid w:val="007F085C"/>
    <w:rsid w:val="007F179E"/>
    <w:rsid w:val="007F305D"/>
    <w:rsid w:val="007F550E"/>
    <w:rsid w:val="007F66DC"/>
    <w:rsid w:val="007F71ED"/>
    <w:rsid w:val="00800A06"/>
    <w:rsid w:val="008023E1"/>
    <w:rsid w:val="0081098D"/>
    <w:rsid w:val="008165E6"/>
    <w:rsid w:val="008177D6"/>
    <w:rsid w:val="008275E1"/>
    <w:rsid w:val="008310B9"/>
    <w:rsid w:val="00837848"/>
    <w:rsid w:val="00847084"/>
    <w:rsid w:val="008472CA"/>
    <w:rsid w:val="008501D1"/>
    <w:rsid w:val="00855F73"/>
    <w:rsid w:val="00856E14"/>
    <w:rsid w:val="00867AD3"/>
    <w:rsid w:val="008727CA"/>
    <w:rsid w:val="00874581"/>
    <w:rsid w:val="00875639"/>
    <w:rsid w:val="00875915"/>
    <w:rsid w:val="00876585"/>
    <w:rsid w:val="00876F8E"/>
    <w:rsid w:val="00884C26"/>
    <w:rsid w:val="008856F7"/>
    <w:rsid w:val="0088592C"/>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3169"/>
    <w:rsid w:val="008E5DC1"/>
    <w:rsid w:val="008F1D9E"/>
    <w:rsid w:val="008F22C6"/>
    <w:rsid w:val="008F24DE"/>
    <w:rsid w:val="008F7475"/>
    <w:rsid w:val="00900AB6"/>
    <w:rsid w:val="00903C60"/>
    <w:rsid w:val="00913F17"/>
    <w:rsid w:val="009140A0"/>
    <w:rsid w:val="0092153D"/>
    <w:rsid w:val="009215EE"/>
    <w:rsid w:val="00924523"/>
    <w:rsid w:val="00934239"/>
    <w:rsid w:val="00946781"/>
    <w:rsid w:val="009473D4"/>
    <w:rsid w:val="00951C77"/>
    <w:rsid w:val="00951EDF"/>
    <w:rsid w:val="009538E7"/>
    <w:rsid w:val="0095466A"/>
    <w:rsid w:val="00956256"/>
    <w:rsid w:val="00957E87"/>
    <w:rsid w:val="00965896"/>
    <w:rsid w:val="00966AF7"/>
    <w:rsid w:val="00971141"/>
    <w:rsid w:val="0097339A"/>
    <w:rsid w:val="0098264F"/>
    <w:rsid w:val="00983052"/>
    <w:rsid w:val="009848C2"/>
    <w:rsid w:val="00986DB0"/>
    <w:rsid w:val="00990817"/>
    <w:rsid w:val="00994011"/>
    <w:rsid w:val="009A47D0"/>
    <w:rsid w:val="009B006B"/>
    <w:rsid w:val="009B1BFB"/>
    <w:rsid w:val="009B660D"/>
    <w:rsid w:val="009B6AC7"/>
    <w:rsid w:val="009C3023"/>
    <w:rsid w:val="009C312C"/>
    <w:rsid w:val="009C40D2"/>
    <w:rsid w:val="009C59A8"/>
    <w:rsid w:val="009C69E9"/>
    <w:rsid w:val="009D0924"/>
    <w:rsid w:val="009D1524"/>
    <w:rsid w:val="009D4012"/>
    <w:rsid w:val="009D7B6D"/>
    <w:rsid w:val="009D7CBA"/>
    <w:rsid w:val="009E263F"/>
    <w:rsid w:val="009E4B3D"/>
    <w:rsid w:val="009F24C6"/>
    <w:rsid w:val="009F40B0"/>
    <w:rsid w:val="009F594A"/>
    <w:rsid w:val="00A0211C"/>
    <w:rsid w:val="00A0478B"/>
    <w:rsid w:val="00A0481E"/>
    <w:rsid w:val="00A06707"/>
    <w:rsid w:val="00A07539"/>
    <w:rsid w:val="00A13609"/>
    <w:rsid w:val="00A1458A"/>
    <w:rsid w:val="00A147F9"/>
    <w:rsid w:val="00A222C8"/>
    <w:rsid w:val="00A22B0B"/>
    <w:rsid w:val="00A2597D"/>
    <w:rsid w:val="00A441B0"/>
    <w:rsid w:val="00A501A7"/>
    <w:rsid w:val="00A51967"/>
    <w:rsid w:val="00A577BC"/>
    <w:rsid w:val="00A600AE"/>
    <w:rsid w:val="00A61EF8"/>
    <w:rsid w:val="00A67DA6"/>
    <w:rsid w:val="00A70655"/>
    <w:rsid w:val="00A738BE"/>
    <w:rsid w:val="00A757C6"/>
    <w:rsid w:val="00A778A2"/>
    <w:rsid w:val="00A82D39"/>
    <w:rsid w:val="00A84EC1"/>
    <w:rsid w:val="00A8626B"/>
    <w:rsid w:val="00A919C6"/>
    <w:rsid w:val="00A9382B"/>
    <w:rsid w:val="00A94D81"/>
    <w:rsid w:val="00AA1ED3"/>
    <w:rsid w:val="00AB0D35"/>
    <w:rsid w:val="00AB2BDE"/>
    <w:rsid w:val="00AB3D17"/>
    <w:rsid w:val="00AB675A"/>
    <w:rsid w:val="00AC0038"/>
    <w:rsid w:val="00AC089B"/>
    <w:rsid w:val="00AC15BE"/>
    <w:rsid w:val="00AC4F4B"/>
    <w:rsid w:val="00AC6BBF"/>
    <w:rsid w:val="00AC7E85"/>
    <w:rsid w:val="00AD1FD1"/>
    <w:rsid w:val="00AD27F4"/>
    <w:rsid w:val="00AD359F"/>
    <w:rsid w:val="00AD3E92"/>
    <w:rsid w:val="00AD4A3D"/>
    <w:rsid w:val="00AE1A72"/>
    <w:rsid w:val="00AF35EB"/>
    <w:rsid w:val="00AF45C5"/>
    <w:rsid w:val="00AF4BC0"/>
    <w:rsid w:val="00AF7416"/>
    <w:rsid w:val="00B0044E"/>
    <w:rsid w:val="00B03ACE"/>
    <w:rsid w:val="00B068D6"/>
    <w:rsid w:val="00B10704"/>
    <w:rsid w:val="00B20EE2"/>
    <w:rsid w:val="00B22EDA"/>
    <w:rsid w:val="00B2433B"/>
    <w:rsid w:val="00B33625"/>
    <w:rsid w:val="00B35C88"/>
    <w:rsid w:val="00B43E6A"/>
    <w:rsid w:val="00B44B7E"/>
    <w:rsid w:val="00B45AD5"/>
    <w:rsid w:val="00B523E9"/>
    <w:rsid w:val="00B53A15"/>
    <w:rsid w:val="00B555B9"/>
    <w:rsid w:val="00B57DDA"/>
    <w:rsid w:val="00B61C2B"/>
    <w:rsid w:val="00B6255A"/>
    <w:rsid w:val="00B63503"/>
    <w:rsid w:val="00B669C5"/>
    <w:rsid w:val="00B705BE"/>
    <w:rsid w:val="00B85463"/>
    <w:rsid w:val="00B873A6"/>
    <w:rsid w:val="00B87F40"/>
    <w:rsid w:val="00B91204"/>
    <w:rsid w:val="00B917EE"/>
    <w:rsid w:val="00B94FCE"/>
    <w:rsid w:val="00B95DD0"/>
    <w:rsid w:val="00B96790"/>
    <w:rsid w:val="00BA05C8"/>
    <w:rsid w:val="00BA2D12"/>
    <w:rsid w:val="00BA2F54"/>
    <w:rsid w:val="00BA4690"/>
    <w:rsid w:val="00BA62C5"/>
    <w:rsid w:val="00BB2CA4"/>
    <w:rsid w:val="00BB41E4"/>
    <w:rsid w:val="00BB53A1"/>
    <w:rsid w:val="00BB6ACE"/>
    <w:rsid w:val="00BB6BCB"/>
    <w:rsid w:val="00BB6C4C"/>
    <w:rsid w:val="00BB78D9"/>
    <w:rsid w:val="00BC1850"/>
    <w:rsid w:val="00BC276F"/>
    <w:rsid w:val="00BC32E7"/>
    <w:rsid w:val="00BC3E2D"/>
    <w:rsid w:val="00BC78D5"/>
    <w:rsid w:val="00BD01A3"/>
    <w:rsid w:val="00BD7ECB"/>
    <w:rsid w:val="00BE21F8"/>
    <w:rsid w:val="00BE4AD4"/>
    <w:rsid w:val="00BE64FA"/>
    <w:rsid w:val="00BF0179"/>
    <w:rsid w:val="00BF1792"/>
    <w:rsid w:val="00BF59AD"/>
    <w:rsid w:val="00C00EBB"/>
    <w:rsid w:val="00C034F1"/>
    <w:rsid w:val="00C03FBA"/>
    <w:rsid w:val="00C07D21"/>
    <w:rsid w:val="00C11D6A"/>
    <w:rsid w:val="00C137C4"/>
    <w:rsid w:val="00C161F9"/>
    <w:rsid w:val="00C17708"/>
    <w:rsid w:val="00C22334"/>
    <w:rsid w:val="00C2233B"/>
    <w:rsid w:val="00C26C07"/>
    <w:rsid w:val="00C3297F"/>
    <w:rsid w:val="00C35C9A"/>
    <w:rsid w:val="00C3656C"/>
    <w:rsid w:val="00C36E73"/>
    <w:rsid w:val="00C37049"/>
    <w:rsid w:val="00C40B2D"/>
    <w:rsid w:val="00C41DED"/>
    <w:rsid w:val="00C42AC6"/>
    <w:rsid w:val="00C43AB1"/>
    <w:rsid w:val="00C45C27"/>
    <w:rsid w:val="00C52192"/>
    <w:rsid w:val="00C5619A"/>
    <w:rsid w:val="00C6020D"/>
    <w:rsid w:val="00C60DB6"/>
    <w:rsid w:val="00C673C8"/>
    <w:rsid w:val="00C67D90"/>
    <w:rsid w:val="00C67E1C"/>
    <w:rsid w:val="00C76EC5"/>
    <w:rsid w:val="00C7731D"/>
    <w:rsid w:val="00C82B4C"/>
    <w:rsid w:val="00C83DF6"/>
    <w:rsid w:val="00C859FB"/>
    <w:rsid w:val="00C90EFC"/>
    <w:rsid w:val="00C92E8E"/>
    <w:rsid w:val="00CA064B"/>
    <w:rsid w:val="00CA36BC"/>
    <w:rsid w:val="00CA4AF7"/>
    <w:rsid w:val="00CB0DE8"/>
    <w:rsid w:val="00CB2D15"/>
    <w:rsid w:val="00CB7CEE"/>
    <w:rsid w:val="00CB7E8D"/>
    <w:rsid w:val="00CC1139"/>
    <w:rsid w:val="00CC2998"/>
    <w:rsid w:val="00CD1710"/>
    <w:rsid w:val="00CD281E"/>
    <w:rsid w:val="00CD798D"/>
    <w:rsid w:val="00CE1025"/>
    <w:rsid w:val="00CE3122"/>
    <w:rsid w:val="00CF1A23"/>
    <w:rsid w:val="00D17B17"/>
    <w:rsid w:val="00D30696"/>
    <w:rsid w:val="00D416E9"/>
    <w:rsid w:val="00D43CA0"/>
    <w:rsid w:val="00D453B1"/>
    <w:rsid w:val="00D53CE5"/>
    <w:rsid w:val="00D54FED"/>
    <w:rsid w:val="00D60533"/>
    <w:rsid w:val="00D62BFB"/>
    <w:rsid w:val="00D6721D"/>
    <w:rsid w:val="00D67BFE"/>
    <w:rsid w:val="00D72765"/>
    <w:rsid w:val="00D9389C"/>
    <w:rsid w:val="00D97561"/>
    <w:rsid w:val="00D97AB6"/>
    <w:rsid w:val="00DA2048"/>
    <w:rsid w:val="00DA259B"/>
    <w:rsid w:val="00DA5FC3"/>
    <w:rsid w:val="00DA674E"/>
    <w:rsid w:val="00DA799F"/>
    <w:rsid w:val="00DB3460"/>
    <w:rsid w:val="00DB466C"/>
    <w:rsid w:val="00DB71A3"/>
    <w:rsid w:val="00DC13A0"/>
    <w:rsid w:val="00DC1D5C"/>
    <w:rsid w:val="00DC7B5D"/>
    <w:rsid w:val="00DD54A8"/>
    <w:rsid w:val="00DE45D7"/>
    <w:rsid w:val="00DE6BF9"/>
    <w:rsid w:val="00DE6F3F"/>
    <w:rsid w:val="00DE7FD5"/>
    <w:rsid w:val="00DF124E"/>
    <w:rsid w:val="00DF6653"/>
    <w:rsid w:val="00DF74E5"/>
    <w:rsid w:val="00E038FB"/>
    <w:rsid w:val="00E05134"/>
    <w:rsid w:val="00E1043D"/>
    <w:rsid w:val="00E105EC"/>
    <w:rsid w:val="00E10759"/>
    <w:rsid w:val="00E11569"/>
    <w:rsid w:val="00E3067E"/>
    <w:rsid w:val="00E32D36"/>
    <w:rsid w:val="00E351C7"/>
    <w:rsid w:val="00E36A30"/>
    <w:rsid w:val="00E413A9"/>
    <w:rsid w:val="00E420ED"/>
    <w:rsid w:val="00E4460E"/>
    <w:rsid w:val="00E45165"/>
    <w:rsid w:val="00E57852"/>
    <w:rsid w:val="00E60C98"/>
    <w:rsid w:val="00E635CE"/>
    <w:rsid w:val="00E661E7"/>
    <w:rsid w:val="00E70962"/>
    <w:rsid w:val="00E71F0A"/>
    <w:rsid w:val="00E72801"/>
    <w:rsid w:val="00E7306C"/>
    <w:rsid w:val="00E756D4"/>
    <w:rsid w:val="00E772EC"/>
    <w:rsid w:val="00E81E50"/>
    <w:rsid w:val="00E82E8E"/>
    <w:rsid w:val="00E845C2"/>
    <w:rsid w:val="00E94A79"/>
    <w:rsid w:val="00E95ACF"/>
    <w:rsid w:val="00E96254"/>
    <w:rsid w:val="00EB066D"/>
    <w:rsid w:val="00EB08A7"/>
    <w:rsid w:val="00EB2335"/>
    <w:rsid w:val="00EB4F4B"/>
    <w:rsid w:val="00EC0944"/>
    <w:rsid w:val="00EC7B4A"/>
    <w:rsid w:val="00ED0E21"/>
    <w:rsid w:val="00ED37A4"/>
    <w:rsid w:val="00ED3B04"/>
    <w:rsid w:val="00ED3E20"/>
    <w:rsid w:val="00EE5591"/>
    <w:rsid w:val="00EE5D4F"/>
    <w:rsid w:val="00EE7C56"/>
    <w:rsid w:val="00EF293E"/>
    <w:rsid w:val="00EF2EC1"/>
    <w:rsid w:val="00EF4122"/>
    <w:rsid w:val="00F011A6"/>
    <w:rsid w:val="00F020C2"/>
    <w:rsid w:val="00F03575"/>
    <w:rsid w:val="00F03D74"/>
    <w:rsid w:val="00F03D77"/>
    <w:rsid w:val="00F04D24"/>
    <w:rsid w:val="00F06A80"/>
    <w:rsid w:val="00F10AA4"/>
    <w:rsid w:val="00F13D27"/>
    <w:rsid w:val="00F1430E"/>
    <w:rsid w:val="00F16034"/>
    <w:rsid w:val="00F2312C"/>
    <w:rsid w:val="00F25567"/>
    <w:rsid w:val="00F32416"/>
    <w:rsid w:val="00F32F6B"/>
    <w:rsid w:val="00F34AA0"/>
    <w:rsid w:val="00F34C85"/>
    <w:rsid w:val="00F35E78"/>
    <w:rsid w:val="00F37998"/>
    <w:rsid w:val="00F37B3B"/>
    <w:rsid w:val="00F42857"/>
    <w:rsid w:val="00F4471E"/>
    <w:rsid w:val="00F45E01"/>
    <w:rsid w:val="00F47FAC"/>
    <w:rsid w:val="00F520E5"/>
    <w:rsid w:val="00F52AB4"/>
    <w:rsid w:val="00F5366F"/>
    <w:rsid w:val="00F54F28"/>
    <w:rsid w:val="00F6136F"/>
    <w:rsid w:val="00F6602E"/>
    <w:rsid w:val="00F70650"/>
    <w:rsid w:val="00F70D54"/>
    <w:rsid w:val="00F723DF"/>
    <w:rsid w:val="00F72F83"/>
    <w:rsid w:val="00F73AB1"/>
    <w:rsid w:val="00F7409F"/>
    <w:rsid w:val="00F75081"/>
    <w:rsid w:val="00F75C23"/>
    <w:rsid w:val="00F76366"/>
    <w:rsid w:val="00F76B0A"/>
    <w:rsid w:val="00F77953"/>
    <w:rsid w:val="00F813C4"/>
    <w:rsid w:val="00F844B5"/>
    <w:rsid w:val="00F84FB2"/>
    <w:rsid w:val="00F866D8"/>
    <w:rsid w:val="00F904BE"/>
    <w:rsid w:val="00F95FF5"/>
    <w:rsid w:val="00F96FCC"/>
    <w:rsid w:val="00FA07CE"/>
    <w:rsid w:val="00FA0A52"/>
    <w:rsid w:val="00FA2A1C"/>
    <w:rsid w:val="00FA7FAA"/>
    <w:rsid w:val="00FB239C"/>
    <w:rsid w:val="00FB4489"/>
    <w:rsid w:val="00FB45AC"/>
    <w:rsid w:val="00FC31A6"/>
    <w:rsid w:val="00FC47E3"/>
    <w:rsid w:val="00FC5E93"/>
    <w:rsid w:val="00FD1042"/>
    <w:rsid w:val="00FD221B"/>
    <w:rsid w:val="00FD2460"/>
    <w:rsid w:val="00FD5163"/>
    <w:rsid w:val="00FE336E"/>
    <w:rsid w:val="00FE7ED7"/>
    <w:rsid w:val="00FF1F1D"/>
    <w:rsid w:val="00FF3EE4"/>
    <w:rsid w:val="00FF407F"/>
    <w:rsid w:val="00FF5155"/>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1C5F67"/>
  <w15:docId w15:val="{30ACE200-9641-4AAC-84F4-C5B681B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BE07-13B9-448C-BDC2-0B629C5C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2</cp:revision>
  <cp:lastPrinted>2017-12-01T18:55:00Z</cp:lastPrinted>
  <dcterms:created xsi:type="dcterms:W3CDTF">2017-12-06T20:11:00Z</dcterms:created>
  <dcterms:modified xsi:type="dcterms:W3CDTF">2017-12-06T20:11:00Z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