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A452" w14:textId="77777777" w:rsidR="00147EB1" w:rsidRDefault="00A64457" w:rsidP="00147EB1">
      <w:pPr>
        <w:spacing w:after="0" w:line="240" w:lineRule="auto"/>
        <w:jc w:val="both"/>
      </w:pPr>
      <w:r>
        <w:t>May 3</w:t>
      </w:r>
      <w:r w:rsidR="00147EB1">
        <w:t>, 2018</w:t>
      </w:r>
    </w:p>
    <w:p w14:paraId="217FA99E" w14:textId="77777777" w:rsidR="00147EB1" w:rsidRPr="00934239" w:rsidRDefault="00147EB1" w:rsidP="00147EB1">
      <w:pPr>
        <w:spacing w:after="0" w:line="240" w:lineRule="auto"/>
        <w:jc w:val="both"/>
      </w:pPr>
    </w:p>
    <w:p w14:paraId="399AE558" w14:textId="77777777" w:rsidR="00147EB1" w:rsidRDefault="00147EB1" w:rsidP="00147EB1">
      <w:pPr>
        <w:spacing w:after="0" w:line="240" w:lineRule="auto"/>
        <w:jc w:val="both"/>
      </w:pPr>
      <w:r>
        <w:t>Technical Director</w:t>
      </w:r>
    </w:p>
    <w:p w14:paraId="065D3DBC" w14:textId="77777777" w:rsidR="00147EB1" w:rsidRDefault="00147EB1" w:rsidP="00147EB1">
      <w:pPr>
        <w:spacing w:after="0" w:line="240" w:lineRule="auto"/>
        <w:jc w:val="both"/>
      </w:pPr>
      <w:r>
        <w:t>Financial Accounting Standards Board</w:t>
      </w:r>
    </w:p>
    <w:p w14:paraId="421603D4" w14:textId="77777777" w:rsidR="00147EB1" w:rsidRDefault="00147EB1" w:rsidP="00147EB1">
      <w:pPr>
        <w:spacing w:after="0" w:line="240" w:lineRule="auto"/>
        <w:jc w:val="both"/>
      </w:pPr>
      <w:r>
        <w:t>401 Merritt 7, P.O. Box 5116</w:t>
      </w:r>
    </w:p>
    <w:p w14:paraId="619DAE23" w14:textId="77777777" w:rsidR="00147EB1" w:rsidRDefault="00147EB1" w:rsidP="00147EB1">
      <w:pPr>
        <w:spacing w:after="0" w:line="240" w:lineRule="auto"/>
        <w:jc w:val="both"/>
      </w:pPr>
      <w:r>
        <w:t>Norwalk, CT 06856-5116</w:t>
      </w:r>
    </w:p>
    <w:p w14:paraId="792E518C" w14:textId="77777777" w:rsidR="00147EB1" w:rsidRDefault="00147EB1" w:rsidP="00147EB1">
      <w:pPr>
        <w:spacing w:after="0" w:line="240" w:lineRule="auto"/>
        <w:jc w:val="both"/>
      </w:pPr>
    </w:p>
    <w:p w14:paraId="00FB6A17" w14:textId="77777777" w:rsidR="00147EB1" w:rsidRDefault="00147EB1" w:rsidP="00147EB1">
      <w:pPr>
        <w:spacing w:after="0" w:line="240" w:lineRule="auto"/>
        <w:jc w:val="both"/>
      </w:pPr>
      <w:r>
        <w:t>File Reference No. 2018-230</w:t>
      </w:r>
    </w:p>
    <w:p w14:paraId="48219C24" w14:textId="77777777" w:rsidR="00147EB1" w:rsidRDefault="00147EB1" w:rsidP="00147EB1">
      <w:pPr>
        <w:spacing w:after="0" w:line="240" w:lineRule="auto"/>
        <w:jc w:val="both"/>
      </w:pPr>
    </w:p>
    <w:p w14:paraId="4C6FFC3A" w14:textId="77777777" w:rsidR="00147EB1" w:rsidRPr="00671140" w:rsidRDefault="00147EB1" w:rsidP="00147EB1">
      <w:pPr>
        <w:spacing w:after="0" w:line="240" w:lineRule="auto"/>
        <w:jc w:val="both"/>
        <w:rPr>
          <w:rFonts w:cstheme="minorBidi"/>
        </w:rPr>
      </w:pPr>
      <w:r w:rsidRPr="00AD259B">
        <w:rPr>
          <w:rFonts w:cstheme="minorBidi"/>
        </w:rPr>
        <w:t>The Accounting Principles Committee of the Illinois CPA Society (“Committee”) appreciate</w:t>
      </w:r>
      <w:r>
        <w:rPr>
          <w:rFonts w:cstheme="minorBidi"/>
        </w:rPr>
        <w:t>s</w:t>
      </w:r>
      <w:r w:rsidRPr="00AD259B">
        <w:rPr>
          <w:rFonts w:cstheme="minorBidi"/>
        </w:rPr>
        <w:t xml:space="preserve"> the opportunity to provide </w:t>
      </w:r>
      <w:r>
        <w:rPr>
          <w:rFonts w:cstheme="minorBidi"/>
        </w:rPr>
        <w:t>its</w:t>
      </w:r>
      <w:r w:rsidRPr="00AD259B">
        <w:rPr>
          <w:rFonts w:cstheme="minorBidi"/>
        </w:rPr>
        <w:t xml:space="preserve"> perspective on the </w:t>
      </w:r>
      <w:r>
        <w:rPr>
          <w:rFonts w:cstheme="minorBidi"/>
        </w:rPr>
        <w:t>Proposed Accounting Standards Update (“ASU”)</w:t>
      </w:r>
      <w:r w:rsidRPr="00AD259B">
        <w:rPr>
          <w:rFonts w:cstheme="minorBidi"/>
        </w:rPr>
        <w:t xml:space="preserve">, </w:t>
      </w:r>
      <w:r>
        <w:rPr>
          <w:rFonts w:cstheme="minorBidi"/>
          <w:i/>
        </w:rPr>
        <w:t xml:space="preserve">Intangibles – Goodwill and Other-Internal-Use Software (Subtopic 350-40) </w:t>
      </w:r>
      <w:r w:rsidRPr="00147EB1">
        <w:rPr>
          <w:rFonts w:cstheme="minorBidi"/>
        </w:rPr>
        <w:t>Customer’s Accounting for Implementation Costs Incurred in a Cloud Computing Arrangement That Is a Service Contract</w:t>
      </w:r>
      <w:r w:rsidRPr="00AD259B">
        <w:rPr>
          <w:rFonts w:cstheme="minorBidi"/>
        </w:rPr>
        <w:t xml:space="preserve">. </w:t>
      </w:r>
      <w:r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7F2C18A1" w14:textId="77777777" w:rsidR="00147EB1" w:rsidRDefault="00147EB1" w:rsidP="00147EB1">
      <w:pPr>
        <w:pStyle w:val="NoSpacing"/>
        <w:jc w:val="both"/>
      </w:pPr>
    </w:p>
    <w:p w14:paraId="59B9D757" w14:textId="77777777" w:rsidR="00147EB1" w:rsidRDefault="00147EB1" w:rsidP="00147EB1">
      <w:pPr>
        <w:jc w:val="both"/>
        <w:rPr>
          <w:b/>
        </w:rPr>
      </w:pPr>
      <w:r>
        <w:t>In general, the Committee is supportive of the Board’s proposed changes.</w:t>
      </w:r>
      <w:r w:rsidRPr="00147EB1">
        <w:rPr>
          <w:b/>
        </w:rPr>
        <w:t xml:space="preserve"> </w:t>
      </w:r>
    </w:p>
    <w:p w14:paraId="49871260" w14:textId="77777777" w:rsidR="00147EB1" w:rsidRDefault="00147EB1" w:rsidP="00147EB1">
      <w:pPr>
        <w:jc w:val="both"/>
        <w:rPr>
          <w:b/>
        </w:rPr>
      </w:pPr>
    </w:p>
    <w:p w14:paraId="5DD8CAAF" w14:textId="77777777" w:rsidR="00147EB1" w:rsidRDefault="00147EB1" w:rsidP="00147EB1">
      <w:pPr>
        <w:jc w:val="both"/>
        <w:rPr>
          <w:i/>
        </w:rPr>
      </w:pPr>
      <w:r w:rsidRPr="003D44A5">
        <w:rPr>
          <w:b/>
        </w:rPr>
        <w:t>Question 1:</w:t>
      </w:r>
      <w:r>
        <w:t xml:space="preserve"> </w:t>
      </w:r>
      <w:r>
        <w:rPr>
          <w:i/>
        </w:rPr>
        <w:t>Should eligible implementation costs of a hosting arrangement that is a service contract be capitalized using the guidance on internal-use software, recognized in profit or loss over the term of the hosting arrangement as defined in the proposed Update, and presented in the same line item in the statement of income as the fee associated with the hosting arrangement? If not, what accounting is more appropriate and why?</w:t>
      </w:r>
    </w:p>
    <w:p w14:paraId="60E4854C" w14:textId="77777777" w:rsidR="00E051AC" w:rsidRPr="00E051AC" w:rsidRDefault="00E051AC" w:rsidP="00147EB1">
      <w:pPr>
        <w:jc w:val="both"/>
      </w:pPr>
      <w:r>
        <w:t>We agree eligible implementation costs incurred in a cloud hosting arrangement that is a service contact should be capitalized using the guidance of internal-use software. We also agree these expenses should be recognized over the term of the hosting arrangement including periods covered by an option to extend the hosting arrangement</w:t>
      </w:r>
      <w:r w:rsidR="00FE4984">
        <w:t xml:space="preserve"> and presented in the same line item in the statement of income as the fee associated with the hosting arrangement. However</w:t>
      </w:r>
      <w:r w:rsidR="00A64457">
        <w:t xml:space="preserve">, </w:t>
      </w:r>
      <w:r w:rsidR="00FE4984">
        <w:t xml:space="preserve">when determining eligible implementation costs, we believe an entity shall also consider capitalization of future hosting payments and recognize the related liability for the future payments.  </w:t>
      </w:r>
      <w:r w:rsidR="001B2F8F">
        <w:t xml:space="preserve">Future payments in a hosting arrangement is similar to a software license by a licensee in which the licensee is required to recognize the related liability. Requiring capitalize and recognition of the related liability of future hosting payments </w:t>
      </w:r>
      <w:r w:rsidR="008C2439">
        <w:t xml:space="preserve">would be consistent with </w:t>
      </w:r>
      <w:r w:rsidR="001B2F8F">
        <w:t xml:space="preserve">other </w:t>
      </w:r>
      <w:r w:rsidR="008C2439">
        <w:t>guidance</w:t>
      </w:r>
      <w:r w:rsidR="001B2F8F">
        <w:t>.</w:t>
      </w:r>
    </w:p>
    <w:p w14:paraId="39DA99C3" w14:textId="77777777" w:rsidR="00D56780" w:rsidRDefault="00147EB1" w:rsidP="00147EB1">
      <w:pPr>
        <w:rPr>
          <w:b/>
        </w:rPr>
      </w:pPr>
      <w:r>
        <w:rPr>
          <w:b/>
        </w:rPr>
        <w:t>Response:</w:t>
      </w:r>
      <w:r w:rsidR="00C86B09">
        <w:rPr>
          <w:b/>
        </w:rPr>
        <w:t xml:space="preserve"> </w:t>
      </w:r>
    </w:p>
    <w:p w14:paraId="1249AFED" w14:textId="77777777" w:rsidR="00C86B09" w:rsidRDefault="00C86B09" w:rsidP="00C86B09">
      <w:pPr>
        <w:jc w:val="both"/>
        <w:rPr>
          <w:i/>
        </w:rPr>
      </w:pPr>
      <w:r w:rsidRPr="003D44A5">
        <w:rPr>
          <w:b/>
        </w:rPr>
        <w:t xml:space="preserve">Question </w:t>
      </w:r>
      <w:r>
        <w:rPr>
          <w:b/>
        </w:rPr>
        <w:t>2</w:t>
      </w:r>
      <w:r w:rsidRPr="003D44A5">
        <w:rPr>
          <w:b/>
        </w:rPr>
        <w:t>:</w:t>
      </w:r>
      <w:r>
        <w:t xml:space="preserve"> </w:t>
      </w:r>
      <w:r>
        <w:rPr>
          <w:i/>
        </w:rPr>
        <w:t>This proposed Update includes an amendment to the definition of hosting arrangement in the Master Glossary. Do you agree with the amendment, and do you have any other concerns with the definition, as amended?</w:t>
      </w:r>
    </w:p>
    <w:p w14:paraId="2FEEC1A9" w14:textId="77777777" w:rsidR="001B2F8F" w:rsidRPr="001B2F8F" w:rsidRDefault="00EE0C2C" w:rsidP="00C86B09">
      <w:pPr>
        <w:jc w:val="both"/>
      </w:pPr>
      <w:r>
        <w:rPr>
          <w:b/>
        </w:rPr>
        <w:t xml:space="preserve">Response: </w:t>
      </w:r>
      <w:r w:rsidR="001B2F8F">
        <w:t>We agree with the amendment to remove licensing from the definition of hosting arrangement in the Master Glossary</w:t>
      </w:r>
      <w:r w:rsidR="00A64457">
        <w:t xml:space="preserve">; </w:t>
      </w:r>
      <w:r w:rsidR="00EF266A">
        <w:t>however</w:t>
      </w:r>
      <w:r w:rsidR="00A64457">
        <w:t>,</w:t>
      </w:r>
      <w:r w:rsidR="00EF266A">
        <w:t xml:space="preserve"> we believe the definition may be too restrictive and therefore may inappropriately exclude certain situations. It was noted in some circumstances the software application is located on the customer</w:t>
      </w:r>
      <w:r w:rsidR="007B17CE">
        <w:t>’</w:t>
      </w:r>
      <w:r w:rsidR="00EF266A">
        <w:t>s hardware and the customer has no control over the application.</w:t>
      </w:r>
      <w:r w:rsidR="000656AC">
        <w:t xml:space="preserve"> </w:t>
      </w:r>
      <w:r w:rsidR="000616C6">
        <w:t xml:space="preserve">For example, </w:t>
      </w:r>
      <w:r w:rsidR="000616C6">
        <w:lastRenderedPageBreak/>
        <w:t xml:space="preserve">certain regulatory restrictions require the hardware to be physically located at the hostee’s site while </w:t>
      </w:r>
      <w:r w:rsidR="007B17CE">
        <w:t>the host provides the same service under a</w:t>
      </w:r>
      <w:r w:rsidR="00E02FF6">
        <w:t>n</w:t>
      </w:r>
      <w:r w:rsidR="007B17CE">
        <w:t xml:space="preserve"> arrangement where the hardware it located at the vendor’s premises. </w:t>
      </w:r>
      <w:r w:rsidR="000656AC">
        <w:t>We recommend the definition be further clarified to define control over the software application versus the physical location.</w:t>
      </w:r>
      <w:r w:rsidR="007B17CE">
        <w:t xml:space="preserve"> The amendments to the definition are necessary to address hosting arrangements that are not within the scope of leases, ASC Topic 842. If the arrangement is not a lease, then the revisions to the definition would place it within the scope of the proposed ASU.</w:t>
      </w:r>
    </w:p>
    <w:p w14:paraId="75882A76" w14:textId="77777777" w:rsidR="00C86B09" w:rsidRDefault="00C86B09" w:rsidP="00C86B09">
      <w:pPr>
        <w:jc w:val="both"/>
        <w:rPr>
          <w:i/>
        </w:rPr>
      </w:pPr>
      <w:r w:rsidRPr="003D44A5">
        <w:rPr>
          <w:b/>
        </w:rPr>
        <w:t xml:space="preserve">Question </w:t>
      </w:r>
      <w:r>
        <w:rPr>
          <w:b/>
        </w:rPr>
        <w:t>3</w:t>
      </w:r>
      <w:r w:rsidRPr="003D44A5">
        <w:rPr>
          <w:b/>
        </w:rPr>
        <w:t>:</w:t>
      </w:r>
      <w:r>
        <w:t xml:space="preserve"> </w:t>
      </w:r>
      <w:r>
        <w:rPr>
          <w:i/>
        </w:rPr>
        <w:t>Is additional guidance needed to determine whether the amendments in this proposed Update apply to arrangements that include a minor hosting arrangement?</w:t>
      </w:r>
    </w:p>
    <w:p w14:paraId="03D1E84F" w14:textId="77777777" w:rsidR="00520CF9" w:rsidRPr="00520CF9" w:rsidRDefault="00EE0C2C" w:rsidP="00C86B09">
      <w:pPr>
        <w:jc w:val="both"/>
      </w:pPr>
      <w:r>
        <w:rPr>
          <w:b/>
        </w:rPr>
        <w:t xml:space="preserve">Response: </w:t>
      </w:r>
      <w:r w:rsidR="00520CF9">
        <w:t>We beli</w:t>
      </w:r>
      <w:r>
        <w:t>eve the guidance of existing GAAP is sufficient to determine if an arrangement meets the definition of a hosting arrangement under this ASU.</w:t>
      </w:r>
    </w:p>
    <w:p w14:paraId="26C9C07E" w14:textId="77777777" w:rsidR="00C86B09" w:rsidRDefault="00C86B09" w:rsidP="00C86B09">
      <w:pPr>
        <w:jc w:val="both"/>
        <w:rPr>
          <w:i/>
        </w:rPr>
      </w:pPr>
      <w:r w:rsidRPr="003D44A5">
        <w:rPr>
          <w:b/>
        </w:rPr>
        <w:t xml:space="preserve">Question </w:t>
      </w:r>
      <w:r>
        <w:rPr>
          <w:b/>
        </w:rPr>
        <w:t>4</w:t>
      </w:r>
      <w:r w:rsidRPr="003D44A5">
        <w:rPr>
          <w:b/>
        </w:rPr>
        <w:t>:</w:t>
      </w:r>
      <w:r>
        <w:t xml:space="preserve"> </w:t>
      </w:r>
      <w:r>
        <w:rPr>
          <w:i/>
        </w:rPr>
        <w:t>Can the guidance for determining the project stage (that is, preliminary project stage, application development stage, or postimplementation</w:t>
      </w:r>
      <w:r w:rsidR="008176EB">
        <w:rPr>
          <w:i/>
        </w:rPr>
        <w:t xml:space="preserve"> stage) in Subtopic 350-40 be consistently applied to a hosting arrangement? Why or why not?</w:t>
      </w:r>
    </w:p>
    <w:p w14:paraId="24EA788B" w14:textId="77777777" w:rsidR="00EE0C2C" w:rsidRPr="00EE0C2C" w:rsidRDefault="00EE0C2C" w:rsidP="00C86B09">
      <w:pPr>
        <w:jc w:val="both"/>
      </w:pPr>
      <w:r>
        <w:rPr>
          <w:b/>
        </w:rPr>
        <w:t xml:space="preserve">Response: </w:t>
      </w:r>
      <w:r>
        <w:t xml:space="preserve">We believe the guidance of existing GAAP under subtopic 350-40 is sufficient and can be consistently applied to a hosting arrangement. </w:t>
      </w:r>
    </w:p>
    <w:p w14:paraId="521F2D02" w14:textId="77777777" w:rsidR="008176EB" w:rsidRDefault="008176EB" w:rsidP="008176EB">
      <w:pPr>
        <w:jc w:val="both"/>
        <w:rPr>
          <w:i/>
        </w:rPr>
      </w:pPr>
      <w:r w:rsidRPr="003D44A5">
        <w:rPr>
          <w:b/>
        </w:rPr>
        <w:t xml:space="preserve">Question </w:t>
      </w:r>
      <w:r>
        <w:rPr>
          <w:b/>
        </w:rPr>
        <w:t>5</w:t>
      </w:r>
      <w:r w:rsidRPr="003D44A5">
        <w:rPr>
          <w:b/>
        </w:rPr>
        <w:t>:</w:t>
      </w:r>
      <w:r>
        <w:t xml:space="preserve"> </w:t>
      </w:r>
      <w:r>
        <w:rPr>
          <w:i/>
        </w:rPr>
        <w:t>Should an entity apply an impairment model to implementation costs of a hosting arrangement that is a service contract that is different from the impairment model included in Subtopic 350-40? Why or why not?</w:t>
      </w:r>
    </w:p>
    <w:p w14:paraId="110E8EA1" w14:textId="77777777" w:rsidR="00EE0C2C" w:rsidRDefault="00EE0C2C" w:rsidP="00EE0C2C">
      <w:pPr>
        <w:jc w:val="both"/>
      </w:pPr>
      <w:r>
        <w:rPr>
          <w:b/>
        </w:rPr>
        <w:t xml:space="preserve">Response: </w:t>
      </w:r>
      <w:r>
        <w:t>We believe an entity should apply the impairment model that is included in Subtopic 350-40 as this would also be appropriate for hosting arrangements.</w:t>
      </w:r>
    </w:p>
    <w:p w14:paraId="7682755A" w14:textId="77777777" w:rsidR="008176EB" w:rsidRDefault="008176EB" w:rsidP="008176EB">
      <w:pPr>
        <w:jc w:val="both"/>
      </w:pPr>
      <w:r w:rsidRPr="003D44A5">
        <w:rPr>
          <w:b/>
        </w:rPr>
        <w:t xml:space="preserve">Question </w:t>
      </w:r>
      <w:r>
        <w:rPr>
          <w:b/>
        </w:rPr>
        <w:t>6</w:t>
      </w:r>
      <w:r w:rsidRPr="003D44A5">
        <w:rPr>
          <w:b/>
        </w:rPr>
        <w:t>:</w:t>
      </w:r>
      <w:r>
        <w:t xml:space="preserve"> </w:t>
      </w:r>
      <w:r>
        <w:rPr>
          <w:i/>
        </w:rPr>
        <w:t>Do you agree with the disclosures included in the proposed amendments? If not, what additional disclosures do you recommend, or what disclosures should be removed and why?</w:t>
      </w:r>
    </w:p>
    <w:p w14:paraId="05DCE6C0" w14:textId="77777777" w:rsidR="008176EB" w:rsidRPr="00A10A3B" w:rsidRDefault="008176EB" w:rsidP="008176EB">
      <w:r>
        <w:rPr>
          <w:b/>
        </w:rPr>
        <w:t xml:space="preserve">Response: </w:t>
      </w:r>
      <w:r w:rsidR="00A10A3B">
        <w:t>We do not believe the additional disclosures provide any value add to the users of the financial statements. Existing disclosure requirements under topics 275 and 235, and Subtopics 730-10 and 360-10 are sufficient for a hosting arrangement.</w:t>
      </w:r>
    </w:p>
    <w:p w14:paraId="068CFA58" w14:textId="77777777" w:rsidR="008176EB" w:rsidRDefault="008176EB" w:rsidP="008176EB">
      <w:pPr>
        <w:jc w:val="both"/>
      </w:pPr>
      <w:r w:rsidRPr="003D44A5">
        <w:rPr>
          <w:b/>
        </w:rPr>
        <w:t xml:space="preserve">Question </w:t>
      </w:r>
      <w:r>
        <w:rPr>
          <w:b/>
        </w:rPr>
        <w:t>7</w:t>
      </w:r>
      <w:r w:rsidRPr="003D44A5">
        <w:rPr>
          <w:b/>
        </w:rPr>
        <w:t>:</w:t>
      </w:r>
      <w:r>
        <w:t xml:space="preserve"> </w:t>
      </w:r>
      <w:r>
        <w:rPr>
          <w:i/>
        </w:rPr>
        <w:t>Should the disclosures included in the proposed amendments be applied to internal-use software and hosting arrangements that include a software license? Why or why not?</w:t>
      </w:r>
    </w:p>
    <w:p w14:paraId="696CA3FC" w14:textId="77777777" w:rsidR="008176EB" w:rsidRPr="00A10A3B" w:rsidRDefault="008176EB" w:rsidP="008176EB">
      <w:r>
        <w:rPr>
          <w:b/>
        </w:rPr>
        <w:t xml:space="preserve">Response: </w:t>
      </w:r>
      <w:r w:rsidR="00A10A3B">
        <w:t>No. We believe the board defer</w:t>
      </w:r>
      <w:r w:rsidR="00E02FF6">
        <w:t>red</w:t>
      </w:r>
      <w:r w:rsidR="00A10A3B">
        <w:t xml:space="preserve"> changing the disclosure requirements for a future project. We believe changing the disclosure requirements for internal-use software under this ASU may mislead constituents as this ASU is for hosting arrangements and constituents may not have reviewed this ASU for changes to current GAAP in internal-use software.</w:t>
      </w:r>
    </w:p>
    <w:p w14:paraId="07DBE639" w14:textId="77777777" w:rsidR="008176EB" w:rsidRDefault="008176EB" w:rsidP="008176EB">
      <w:pPr>
        <w:jc w:val="both"/>
      </w:pPr>
      <w:r w:rsidRPr="003D44A5">
        <w:rPr>
          <w:b/>
        </w:rPr>
        <w:t xml:space="preserve">Question </w:t>
      </w:r>
      <w:r>
        <w:rPr>
          <w:b/>
        </w:rPr>
        <w:t>8</w:t>
      </w:r>
      <w:r w:rsidRPr="003D44A5">
        <w:rPr>
          <w:b/>
        </w:rPr>
        <w:t>:</w:t>
      </w:r>
      <w:r>
        <w:t xml:space="preserve"> </w:t>
      </w:r>
      <w:r>
        <w:rPr>
          <w:i/>
        </w:rPr>
        <w:t>Should an entity be permitted to elect prospective transition or retrospective transition? If not, please explain what transition method should be required and why. If an entity elects prospective transition, should the entity apply the transition requirements to each hosting arrangement, each module or component within a hosting arrangement, or costs of the hosting arrangement?</w:t>
      </w:r>
    </w:p>
    <w:p w14:paraId="1A1BCCDC" w14:textId="77777777" w:rsidR="008176EB" w:rsidRPr="003D47B7" w:rsidRDefault="008176EB" w:rsidP="008176EB">
      <w:r>
        <w:rPr>
          <w:b/>
        </w:rPr>
        <w:lastRenderedPageBreak/>
        <w:t xml:space="preserve">Response: </w:t>
      </w:r>
      <w:r w:rsidR="003D47B7">
        <w:t xml:space="preserve">We believe the transition guidance of </w:t>
      </w:r>
      <w:r w:rsidR="0057159E">
        <w:t xml:space="preserve">legacy </w:t>
      </w:r>
      <w:r w:rsidR="003D47B7">
        <w:t>SOP 98-1</w:t>
      </w:r>
      <w:r w:rsidR="0057159E">
        <w:t xml:space="preserve">, </w:t>
      </w:r>
      <w:r w:rsidR="0057159E" w:rsidRPr="0017080B">
        <w:rPr>
          <w:i/>
        </w:rPr>
        <w:t>Accounting for the Costs of Computer Software Developed or Obtained for Internal Use</w:t>
      </w:r>
      <w:r w:rsidR="0057159E">
        <w:t>,</w:t>
      </w:r>
      <w:r w:rsidR="003D47B7">
        <w:t xml:space="preserve"> </w:t>
      </w:r>
      <w:r w:rsidR="0057159E">
        <w:t xml:space="preserve">should </w:t>
      </w:r>
      <w:r w:rsidR="003D47B7">
        <w:t xml:space="preserve">be applied. This </w:t>
      </w:r>
      <w:r w:rsidR="0057159E">
        <w:t xml:space="preserve">transition model </w:t>
      </w:r>
      <w:r w:rsidR="003D47B7">
        <w:t>would allow for prospective transition</w:t>
      </w:r>
      <w:r w:rsidR="00173798">
        <w:t>,</w:t>
      </w:r>
      <w:r w:rsidR="003D47B7">
        <w:t xml:space="preserve"> </w:t>
      </w:r>
      <w:r w:rsidR="0057159E">
        <w:t xml:space="preserve">and entities would be able </w:t>
      </w:r>
      <w:r w:rsidR="003D47B7">
        <w:t>to capitalize costs incurred for all projects</w:t>
      </w:r>
      <w:r w:rsidR="0057159E">
        <w:t xml:space="preserve"> not yet placed into production a</w:t>
      </w:r>
      <w:r w:rsidR="00173798">
        <w:t>t</w:t>
      </w:r>
      <w:r w:rsidR="0057159E">
        <w:t xml:space="preserve"> the date of</w:t>
      </w:r>
      <w:r w:rsidR="003D47B7">
        <w:t xml:space="preserve"> adoption. </w:t>
      </w:r>
      <w:r w:rsidR="0057159E">
        <w:t xml:space="preserve">This would </w:t>
      </w:r>
      <w:r w:rsidR="00173798">
        <w:t xml:space="preserve">also </w:t>
      </w:r>
      <w:r w:rsidR="0057159E">
        <w:t xml:space="preserve">obviate the need to </w:t>
      </w:r>
      <w:r w:rsidR="003D47B7">
        <w:t xml:space="preserve">define </w:t>
      </w:r>
      <w:r w:rsidR="00173798">
        <w:t xml:space="preserve">the unit of account for </w:t>
      </w:r>
      <w:r w:rsidR="003D47B7">
        <w:t>each hosting arrangement</w:t>
      </w:r>
      <w:r w:rsidR="00173798">
        <w:t xml:space="preserve"> at transition, an exercise that would needlessly delay implementation of the proposed ASU</w:t>
      </w:r>
      <w:r w:rsidR="0057159E">
        <w:t>.</w:t>
      </w:r>
      <w:r w:rsidR="00147C42">
        <w:t xml:space="preserve"> </w:t>
      </w:r>
      <w:r w:rsidR="00173798">
        <w:t xml:space="preserve">Nonetheless, </w:t>
      </w:r>
      <w:r w:rsidR="00147C42">
        <w:t>we do believe an entity should have the option of retrospective transition.</w:t>
      </w:r>
    </w:p>
    <w:p w14:paraId="378ED795" w14:textId="77777777" w:rsidR="008176EB" w:rsidRDefault="008176EB" w:rsidP="008176EB">
      <w:pPr>
        <w:jc w:val="both"/>
      </w:pPr>
      <w:r w:rsidRPr="003D44A5">
        <w:rPr>
          <w:b/>
        </w:rPr>
        <w:t xml:space="preserve">Question </w:t>
      </w:r>
      <w:r>
        <w:rPr>
          <w:b/>
        </w:rPr>
        <w:t>9</w:t>
      </w:r>
      <w:r w:rsidRPr="003D44A5">
        <w:rPr>
          <w:b/>
        </w:rPr>
        <w:t>:</w:t>
      </w:r>
      <w:r>
        <w:t xml:space="preserve"> </w:t>
      </w:r>
      <w:r>
        <w:rPr>
          <w:i/>
        </w:rPr>
        <w:t>Should an entity be required to provide the transition disclosures specified in the proposed amendments? If not, please explain what transition disclosures should be required and why.</w:t>
      </w:r>
    </w:p>
    <w:p w14:paraId="7DF149CA" w14:textId="77777777" w:rsidR="008176EB" w:rsidRPr="00147C42" w:rsidRDefault="008176EB" w:rsidP="008176EB">
      <w:r>
        <w:rPr>
          <w:b/>
        </w:rPr>
        <w:t xml:space="preserve">Response: </w:t>
      </w:r>
      <w:r w:rsidR="00147C42">
        <w:t>We believe the entity should be required to provide transition disclosures if there is an option for the entity to select a transition method.  However, we do not believe costs incurred prior to point of capitalization need to be disclosed</w:t>
      </w:r>
      <w:r w:rsidR="00A64457">
        <w:t xml:space="preserve">, </w:t>
      </w:r>
      <w:r w:rsidR="00147C42">
        <w:t>as this would provide no benefit to the users.</w:t>
      </w:r>
    </w:p>
    <w:p w14:paraId="2CA8C258" w14:textId="77777777" w:rsidR="008176EB" w:rsidRDefault="008176EB" w:rsidP="008176EB">
      <w:pPr>
        <w:jc w:val="both"/>
      </w:pPr>
      <w:r w:rsidRPr="003D44A5">
        <w:rPr>
          <w:b/>
        </w:rPr>
        <w:t xml:space="preserve">Question </w:t>
      </w:r>
      <w:r>
        <w:rPr>
          <w:b/>
        </w:rPr>
        <w:t>10</w:t>
      </w:r>
      <w:r w:rsidRPr="003D44A5">
        <w:rPr>
          <w:b/>
        </w:rPr>
        <w:t>:</w:t>
      </w:r>
      <w:r>
        <w:t xml:space="preserve"> </w:t>
      </w:r>
      <w:r w:rsidR="00147C42">
        <w:rPr>
          <w:i/>
        </w:rPr>
        <w:t>How much time would be needed to</w:t>
      </w:r>
      <w:r>
        <w:rPr>
          <w:i/>
        </w:rPr>
        <w:t xml:space="preserve"> implement the proposed amendments? Should early adoption be permitted? Do entities other than public business entities need additional time to apply the proposed amendments? Why or why not?</w:t>
      </w:r>
    </w:p>
    <w:p w14:paraId="61347C77" w14:textId="77777777" w:rsidR="008176EB" w:rsidRPr="00147C42" w:rsidRDefault="008176EB" w:rsidP="008176EB">
      <w:r>
        <w:rPr>
          <w:b/>
        </w:rPr>
        <w:t xml:space="preserve">Response: </w:t>
      </w:r>
      <w:r w:rsidR="00147C42">
        <w:t>We believe the time needed to implement would vary based on the requirements of either a retrospective or prospective application. We believe early adoption sh</w:t>
      </w:r>
      <w:r w:rsidR="00A64457">
        <w:t>ould</w:t>
      </w:r>
      <w:r w:rsidR="00147C42">
        <w:t xml:space="preserve"> be permitted as entities may be in midstream of long-term projects. </w:t>
      </w:r>
      <w:r w:rsidR="003549C9">
        <w:t>Entities other than public shall have an additional year to apply the proposed amendments in order for those entities to have the requirement information available for adoption.</w:t>
      </w:r>
    </w:p>
    <w:p w14:paraId="3597BA8C" w14:textId="77777777" w:rsidR="008176EB" w:rsidRDefault="008176EB" w:rsidP="008176EB">
      <w:pPr>
        <w:jc w:val="both"/>
      </w:pPr>
      <w:r w:rsidRPr="003D44A5">
        <w:rPr>
          <w:b/>
        </w:rPr>
        <w:t xml:space="preserve">Question </w:t>
      </w:r>
      <w:r>
        <w:rPr>
          <w:b/>
        </w:rPr>
        <w:t>11</w:t>
      </w:r>
      <w:r w:rsidRPr="003D44A5">
        <w:rPr>
          <w:b/>
        </w:rPr>
        <w:t>:</w:t>
      </w:r>
      <w:r>
        <w:t xml:space="preserve"> </w:t>
      </w:r>
      <w:r>
        <w:rPr>
          <w:i/>
        </w:rPr>
        <w:t>Should the proposed amendments be more broadly applied to similar transactions beyond hosting arrangements or be limited to transactions based on the scope of the proposed amendments? If more broadly applied, what transactions are similar to those included in the scope of the proposed amendments?</w:t>
      </w:r>
    </w:p>
    <w:p w14:paraId="18DC541E" w14:textId="77777777" w:rsidR="008176EB" w:rsidRPr="003549C9" w:rsidRDefault="008176EB" w:rsidP="008176EB">
      <w:r>
        <w:rPr>
          <w:b/>
        </w:rPr>
        <w:t xml:space="preserve">Response: </w:t>
      </w:r>
      <w:r w:rsidR="00FA4822">
        <w:t xml:space="preserve">We do not believe the proposed amendments </w:t>
      </w:r>
      <w:r w:rsidR="00A64457">
        <w:t xml:space="preserve">should </w:t>
      </w:r>
      <w:r w:rsidR="00FA4822">
        <w:t>be more broadly applied.  We believe the board should leave the scope to hosting arrangements as constituents may have been misled by the title of this ASU and did not review for other transactions it might be applied to.</w:t>
      </w:r>
    </w:p>
    <w:p w14:paraId="5793D2C5" w14:textId="77777777" w:rsidR="00173798" w:rsidRDefault="00173798" w:rsidP="008176EB">
      <w:r>
        <w:t xml:space="preserve">The Committee also noted that the EITF rejected the view that entities should be required to recognize an asset and a liability for the payments that they are obligated to </w:t>
      </w:r>
      <w:r w:rsidR="003C6497">
        <w:t>make for a hosting arrangement that is a Software as a Service contract. This view is based on the accounting guidance for software licenses by a licensee, not leasing under ASC 842. Under software licensee accounting, the Board decided that the entity’s future payments represent a liability that should be recognized at the present value of the payments. We recommend that software licensee accounting model with recognition of a liability be applied to hosting arrangements, and support this if this accounting model is applied to the capitalization of costs for hosting arrangements.</w:t>
      </w:r>
    </w:p>
    <w:p w14:paraId="5D09C188" w14:textId="77777777" w:rsidR="00A64457" w:rsidRDefault="00A64457" w:rsidP="008176EB"/>
    <w:p w14:paraId="5A5262CF" w14:textId="77777777" w:rsidR="00A64457" w:rsidRDefault="00A64457" w:rsidP="00A64457">
      <w:pPr>
        <w:spacing w:after="0"/>
        <w:jc w:val="center"/>
      </w:pPr>
      <w:r>
        <w:t xml:space="preserve">* </w:t>
      </w:r>
      <w:r>
        <w:tab/>
        <w:t>*</w:t>
      </w:r>
      <w:r>
        <w:tab/>
        <w:t>*</w:t>
      </w:r>
      <w:r>
        <w:tab/>
        <w:t>*</w:t>
      </w:r>
      <w:r>
        <w:tab/>
        <w:t>*</w:t>
      </w:r>
      <w:r>
        <w:tab/>
        <w:t>*</w:t>
      </w:r>
    </w:p>
    <w:p w14:paraId="25A58853" w14:textId="77777777" w:rsidR="00A64457" w:rsidRDefault="00A64457" w:rsidP="00A64457"/>
    <w:p w14:paraId="5A6BABEC" w14:textId="77777777" w:rsidR="00A64457" w:rsidRPr="00F34F90" w:rsidRDefault="00A64457" w:rsidP="00A64457">
      <w:pPr>
        <w:spacing w:after="0"/>
        <w:jc w:val="both"/>
      </w:pPr>
      <w:r w:rsidRPr="00F34F90">
        <w:lastRenderedPageBreak/>
        <w:t xml:space="preserve">We appreciate the opportunity to </w:t>
      </w:r>
      <w:r>
        <w:t>provide</w:t>
      </w:r>
      <w:r w:rsidRPr="00F34F90">
        <w:t xml:space="preserve"> our comments</w:t>
      </w:r>
      <w:r>
        <w:t xml:space="preserve"> and observations on the proposed ASU and would be pleased to discuss them with the Board members or the FASB staff at your convenience</w:t>
      </w:r>
      <w:r w:rsidRPr="00F34F90">
        <w:t>.</w:t>
      </w:r>
    </w:p>
    <w:p w14:paraId="6FAF596B" w14:textId="77777777" w:rsidR="00A64457" w:rsidRPr="00F34F90" w:rsidRDefault="00A64457" w:rsidP="00A64457">
      <w:pPr>
        <w:spacing w:after="0"/>
        <w:jc w:val="both"/>
      </w:pPr>
    </w:p>
    <w:p w14:paraId="35065229" w14:textId="77777777" w:rsidR="00A64457" w:rsidRPr="00F34F90" w:rsidRDefault="00A64457" w:rsidP="00A64457">
      <w:pPr>
        <w:spacing w:after="0"/>
        <w:jc w:val="both"/>
      </w:pPr>
      <w:r w:rsidRPr="00F34F90">
        <w:t>Sincerely,</w:t>
      </w:r>
    </w:p>
    <w:p w14:paraId="4E8AC523" w14:textId="77777777" w:rsidR="00A64457" w:rsidRPr="00F21F08" w:rsidRDefault="00A64457" w:rsidP="00A64457"/>
    <w:p w14:paraId="3CB9AC2D" w14:textId="77777777" w:rsidR="00A64457" w:rsidRPr="008B1FB7" w:rsidRDefault="00A64457" w:rsidP="00A64457">
      <w:pPr>
        <w:rPr>
          <w:sz w:val="20"/>
          <w:szCs w:val="20"/>
        </w:rPr>
      </w:pPr>
      <w:r>
        <w:rPr>
          <w:b/>
          <w:bCs/>
          <w:sz w:val="20"/>
          <w:szCs w:val="20"/>
        </w:rPr>
        <w:t>Brian Kot</w:t>
      </w:r>
      <w:r w:rsidRPr="008B1FB7">
        <w:rPr>
          <w:b/>
          <w:bCs/>
          <w:sz w:val="20"/>
          <w:szCs w:val="20"/>
        </w:rPr>
        <w:t>, CPA</w:t>
      </w:r>
      <w:r w:rsidRPr="008B1FB7">
        <w:rPr>
          <w:sz w:val="20"/>
          <w:szCs w:val="20"/>
        </w:rPr>
        <w:br/>
        <w:t>Chair, Accounting Principles Committee</w:t>
      </w:r>
    </w:p>
    <w:p w14:paraId="3A0F19BB" w14:textId="77777777" w:rsidR="00A64457" w:rsidRDefault="00A64457" w:rsidP="00A64457">
      <w:pPr>
        <w:rPr>
          <w:sz w:val="20"/>
          <w:szCs w:val="20"/>
        </w:rPr>
      </w:pPr>
      <w:r w:rsidRPr="00882EB2">
        <w:rPr>
          <w:b/>
          <w:bCs/>
          <w:sz w:val="20"/>
          <w:szCs w:val="20"/>
        </w:rPr>
        <w:t>William Keirse</w:t>
      </w:r>
      <w:r w:rsidRPr="008B1FB7">
        <w:rPr>
          <w:b/>
          <w:bCs/>
          <w:sz w:val="20"/>
          <w:szCs w:val="20"/>
        </w:rPr>
        <w:t>, CPA</w:t>
      </w:r>
      <w:r w:rsidRPr="008B1FB7">
        <w:rPr>
          <w:sz w:val="20"/>
          <w:szCs w:val="20"/>
        </w:rPr>
        <w:br/>
        <w:t>Vice Chair, Accounting Principles Committee</w:t>
      </w:r>
    </w:p>
    <w:p w14:paraId="705AFD89" w14:textId="77777777" w:rsidR="00A64457" w:rsidRDefault="00A64457">
      <w:pPr>
        <w:spacing w:after="160" w:line="259" w:lineRule="auto"/>
        <w:rPr>
          <w:sz w:val="20"/>
          <w:szCs w:val="20"/>
        </w:rPr>
      </w:pPr>
      <w:r>
        <w:rPr>
          <w:sz w:val="20"/>
          <w:szCs w:val="20"/>
        </w:rPr>
        <w:br w:type="page"/>
      </w:r>
    </w:p>
    <w:p w14:paraId="6DBD7278" w14:textId="77777777" w:rsidR="00A64457" w:rsidRPr="005150CC" w:rsidRDefault="00A64457" w:rsidP="00A64457">
      <w:pPr>
        <w:tabs>
          <w:tab w:val="left" w:pos="360"/>
          <w:tab w:val="center" w:pos="4680"/>
        </w:tabs>
        <w:suppressAutoHyphens/>
        <w:spacing w:after="0"/>
        <w:jc w:val="center"/>
        <w:rPr>
          <w:sz w:val="20"/>
          <w:szCs w:val="20"/>
        </w:rPr>
      </w:pPr>
      <w:r w:rsidRPr="005150CC">
        <w:rPr>
          <w:sz w:val="20"/>
          <w:szCs w:val="20"/>
        </w:rPr>
        <w:lastRenderedPageBreak/>
        <w:t>APPENDIX A</w:t>
      </w:r>
    </w:p>
    <w:p w14:paraId="17DD4F9F" w14:textId="77777777" w:rsidR="00A64457" w:rsidRPr="00431A64" w:rsidRDefault="00A64457" w:rsidP="00A64457">
      <w:pPr>
        <w:tabs>
          <w:tab w:val="left" w:pos="360"/>
          <w:tab w:val="center" w:pos="4680"/>
        </w:tabs>
        <w:suppressAutoHyphens/>
        <w:spacing w:after="0"/>
        <w:jc w:val="center"/>
        <w:rPr>
          <w:sz w:val="20"/>
          <w:szCs w:val="20"/>
        </w:rPr>
      </w:pPr>
      <w:r w:rsidRPr="00431A64">
        <w:rPr>
          <w:sz w:val="20"/>
          <w:szCs w:val="20"/>
        </w:rPr>
        <w:t>ACCOUNTING PRINCIPLES COMMITTEE</w:t>
      </w:r>
    </w:p>
    <w:p w14:paraId="20443B24" w14:textId="77777777" w:rsidR="00A64457" w:rsidRPr="00431A64" w:rsidRDefault="00A64457" w:rsidP="00A64457">
      <w:pPr>
        <w:tabs>
          <w:tab w:val="center" w:pos="4680"/>
        </w:tabs>
        <w:suppressAutoHyphens/>
        <w:spacing w:after="0"/>
        <w:jc w:val="center"/>
        <w:rPr>
          <w:sz w:val="20"/>
          <w:szCs w:val="20"/>
        </w:rPr>
      </w:pPr>
      <w:r w:rsidRPr="00431A64">
        <w:rPr>
          <w:sz w:val="20"/>
          <w:szCs w:val="20"/>
        </w:rPr>
        <w:t>ORGANIZATION AND OPERATING PROCEDURES</w:t>
      </w:r>
    </w:p>
    <w:p w14:paraId="749D8647" w14:textId="77777777" w:rsidR="00A64457" w:rsidRPr="00431A64" w:rsidRDefault="00A64457" w:rsidP="00A64457">
      <w:pPr>
        <w:tabs>
          <w:tab w:val="center" w:pos="4680"/>
        </w:tabs>
        <w:suppressAutoHyphens/>
        <w:spacing w:after="0"/>
        <w:jc w:val="center"/>
        <w:rPr>
          <w:sz w:val="20"/>
          <w:szCs w:val="20"/>
        </w:rPr>
      </w:pPr>
      <w:r w:rsidRPr="00431A64">
        <w:rPr>
          <w:sz w:val="20"/>
          <w:szCs w:val="20"/>
        </w:rPr>
        <w:t>201</w:t>
      </w:r>
      <w:r>
        <w:rPr>
          <w:sz w:val="20"/>
          <w:szCs w:val="20"/>
        </w:rPr>
        <w:t>8</w:t>
      </w:r>
      <w:r w:rsidRPr="00431A64">
        <w:rPr>
          <w:sz w:val="20"/>
          <w:szCs w:val="20"/>
        </w:rPr>
        <w:t>-201</w:t>
      </w:r>
      <w:r>
        <w:rPr>
          <w:sz w:val="20"/>
          <w:szCs w:val="20"/>
        </w:rPr>
        <w:t>9</w:t>
      </w:r>
    </w:p>
    <w:p w14:paraId="5A354674" w14:textId="77777777" w:rsidR="00A64457" w:rsidRPr="00C458D7" w:rsidRDefault="00A64457" w:rsidP="00A64457">
      <w:pPr>
        <w:pStyle w:val="NoSpacing"/>
        <w:rPr>
          <w:sz w:val="20"/>
          <w:szCs w:val="20"/>
        </w:rPr>
      </w:pPr>
    </w:p>
    <w:p w14:paraId="48DCC94D" w14:textId="77777777" w:rsidR="00A64457" w:rsidRDefault="00A64457" w:rsidP="00A64457">
      <w:pPr>
        <w:pStyle w:val="NoSpacing"/>
        <w:jc w:val="both"/>
        <w:rPr>
          <w:spacing w:val="-3"/>
          <w:sz w:val="20"/>
          <w:szCs w:val="20"/>
        </w:rPr>
      </w:pPr>
      <w:r w:rsidRPr="00C458D7">
        <w:rPr>
          <w:spacing w:val="-3"/>
          <w:sz w:val="20"/>
          <w:szCs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59235DCC" w14:textId="77777777" w:rsidR="00A64457" w:rsidRPr="00C458D7" w:rsidRDefault="00A64457" w:rsidP="00A64457">
      <w:pPr>
        <w:pStyle w:val="NoSpacing"/>
        <w:jc w:val="both"/>
        <w:rPr>
          <w:spacing w:val="-3"/>
          <w:sz w:val="20"/>
          <w:szCs w:val="20"/>
        </w:rPr>
      </w:pPr>
    </w:p>
    <w:p w14:paraId="3CD2383F" w14:textId="77777777" w:rsidR="00A64457" w:rsidRDefault="00A64457" w:rsidP="00A64457">
      <w:pPr>
        <w:pStyle w:val="NoSpacing"/>
        <w:jc w:val="both"/>
        <w:rPr>
          <w:spacing w:val="-3"/>
          <w:sz w:val="20"/>
          <w:szCs w:val="20"/>
        </w:rPr>
      </w:pPr>
      <w:r w:rsidRPr="00C458D7">
        <w:rPr>
          <w:spacing w:val="-3"/>
          <w:sz w:val="20"/>
          <w:szCs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67C49A42" w14:textId="77777777" w:rsidR="00A64457" w:rsidRPr="00C458D7" w:rsidRDefault="00A64457" w:rsidP="00A64457">
      <w:pPr>
        <w:pStyle w:val="NoSpacing"/>
        <w:jc w:val="both"/>
        <w:rPr>
          <w:b/>
          <w:spacing w:val="-3"/>
          <w:sz w:val="20"/>
          <w:szCs w:val="20"/>
        </w:rPr>
      </w:pPr>
    </w:p>
    <w:p w14:paraId="7C5EB9DA" w14:textId="77777777" w:rsidR="00A64457" w:rsidRPr="00CE74F8" w:rsidRDefault="00A64457" w:rsidP="00A64457">
      <w:pPr>
        <w:tabs>
          <w:tab w:val="left" w:pos="-720"/>
        </w:tabs>
        <w:suppressAutoHyphens/>
        <w:spacing w:after="0"/>
        <w:jc w:val="both"/>
        <w:rPr>
          <w:b/>
          <w:spacing w:val="-3"/>
          <w:sz w:val="20"/>
          <w:szCs w:val="20"/>
        </w:rPr>
      </w:pPr>
      <w:r w:rsidRPr="00CE74F8">
        <w:rPr>
          <w:b/>
          <w:spacing w:val="-3"/>
          <w:sz w:val="20"/>
          <w:szCs w:val="20"/>
        </w:rPr>
        <w:t>Public Accounting Firms:</w:t>
      </w:r>
    </w:p>
    <w:p w14:paraId="590CE544" w14:textId="77777777" w:rsidR="00A64457" w:rsidRPr="00CE74F8" w:rsidRDefault="00A64457" w:rsidP="00A64457">
      <w:pPr>
        <w:tabs>
          <w:tab w:val="left" w:pos="-720"/>
        </w:tabs>
        <w:suppressAutoHyphens/>
        <w:spacing w:after="0"/>
        <w:jc w:val="both"/>
        <w:rPr>
          <w:b/>
          <w:spacing w:val="-3"/>
          <w:sz w:val="20"/>
          <w:szCs w:val="20"/>
        </w:rPr>
      </w:pPr>
      <w:r w:rsidRPr="00CE74F8">
        <w:rPr>
          <w:b/>
          <w:spacing w:val="-3"/>
          <w:sz w:val="20"/>
          <w:szCs w:val="20"/>
        </w:rPr>
        <w:t xml:space="preserve">   Large: </w:t>
      </w:r>
      <w:r w:rsidRPr="00CE74F8">
        <w:rPr>
          <w:spacing w:val="-3"/>
          <w:sz w:val="20"/>
          <w:szCs w:val="20"/>
        </w:rPr>
        <w:t>(national &amp; regional)</w:t>
      </w:r>
    </w:p>
    <w:p w14:paraId="5EC45252" w14:textId="77777777" w:rsidR="00A64457" w:rsidRPr="00CE74F8" w:rsidRDefault="00A64457" w:rsidP="00A64457">
      <w:pPr>
        <w:pStyle w:val="NoSpacing"/>
        <w:tabs>
          <w:tab w:val="left" w:pos="360"/>
        </w:tabs>
        <w:rPr>
          <w:sz w:val="20"/>
          <w:szCs w:val="20"/>
        </w:rPr>
      </w:pPr>
      <w:r w:rsidRPr="00CE74F8">
        <w:rPr>
          <w:sz w:val="20"/>
          <w:szCs w:val="20"/>
          <w:lang w:val="fr-FR"/>
        </w:rPr>
        <w:tab/>
      </w:r>
      <w:r w:rsidRPr="00CE74F8">
        <w:rPr>
          <w:sz w:val="20"/>
          <w:szCs w:val="20"/>
        </w:rPr>
        <w:t>Jared Bourgeois, CPA</w:t>
      </w:r>
      <w:r w:rsidRPr="00CE74F8">
        <w:rPr>
          <w:sz w:val="20"/>
          <w:szCs w:val="20"/>
        </w:rPr>
        <w:tab/>
      </w:r>
      <w:r w:rsidRPr="00CE74F8">
        <w:rPr>
          <w:sz w:val="20"/>
          <w:szCs w:val="20"/>
        </w:rPr>
        <w:tab/>
      </w:r>
      <w:r w:rsidRPr="00CE74F8">
        <w:rPr>
          <w:sz w:val="20"/>
          <w:szCs w:val="20"/>
        </w:rPr>
        <w:tab/>
      </w:r>
      <w:r w:rsidRPr="00CE74F8">
        <w:rPr>
          <w:sz w:val="20"/>
          <w:szCs w:val="20"/>
        </w:rPr>
        <w:tab/>
        <w:t xml:space="preserve">PricewaterhouseCoopers LLP </w:t>
      </w:r>
    </w:p>
    <w:p w14:paraId="2C96EDDB" w14:textId="77777777" w:rsidR="00A64457" w:rsidRDefault="00A64457" w:rsidP="00A64457">
      <w:pPr>
        <w:pStyle w:val="NoSpacing"/>
        <w:tabs>
          <w:tab w:val="left" w:pos="360"/>
        </w:tabs>
        <w:rPr>
          <w:sz w:val="20"/>
          <w:szCs w:val="20"/>
        </w:rPr>
      </w:pPr>
      <w:r w:rsidRPr="00CE74F8">
        <w:rPr>
          <w:sz w:val="20"/>
          <w:szCs w:val="20"/>
        </w:rPr>
        <w:tab/>
        <w:t xml:space="preserve">Ryan Brady, CPA                      </w:t>
      </w:r>
      <w:r w:rsidRPr="00CE74F8">
        <w:rPr>
          <w:sz w:val="20"/>
          <w:szCs w:val="20"/>
        </w:rPr>
        <w:tab/>
      </w:r>
      <w:r w:rsidRPr="00CE74F8">
        <w:rPr>
          <w:sz w:val="20"/>
          <w:szCs w:val="20"/>
        </w:rPr>
        <w:tab/>
        <w:t>Grant Thornton LLP</w:t>
      </w:r>
    </w:p>
    <w:p w14:paraId="352FAAC6" w14:textId="77777777" w:rsidR="00A64457" w:rsidRPr="00CE74F8" w:rsidRDefault="00A64457" w:rsidP="00A64457">
      <w:pPr>
        <w:pStyle w:val="NoSpacing"/>
        <w:tabs>
          <w:tab w:val="left" w:pos="360"/>
        </w:tabs>
        <w:rPr>
          <w:sz w:val="20"/>
          <w:szCs w:val="20"/>
        </w:rPr>
      </w:pPr>
      <w:r>
        <w:rPr>
          <w:sz w:val="20"/>
          <w:szCs w:val="20"/>
        </w:rPr>
        <w:t xml:space="preserve">       Matthew Denton</w:t>
      </w:r>
      <w:r w:rsidRPr="00CE74F8">
        <w:rPr>
          <w:sz w:val="20"/>
          <w:szCs w:val="20"/>
        </w:rPr>
        <w:t xml:space="preserve">, CPA                      </w:t>
      </w:r>
      <w:r w:rsidRPr="00CE74F8">
        <w:rPr>
          <w:sz w:val="20"/>
          <w:szCs w:val="20"/>
        </w:rPr>
        <w:tab/>
      </w:r>
      <w:r w:rsidRPr="00CE74F8">
        <w:rPr>
          <w:sz w:val="20"/>
          <w:szCs w:val="20"/>
        </w:rPr>
        <w:tab/>
      </w:r>
      <w:r>
        <w:rPr>
          <w:sz w:val="20"/>
          <w:szCs w:val="20"/>
        </w:rPr>
        <w:t>Sikich LLP</w:t>
      </w:r>
    </w:p>
    <w:p w14:paraId="00B73AF6" w14:textId="77777777" w:rsidR="00A64457" w:rsidRPr="00CE74F8" w:rsidRDefault="00A64457" w:rsidP="00A64457">
      <w:pPr>
        <w:pStyle w:val="NoSpacing"/>
        <w:tabs>
          <w:tab w:val="left" w:pos="360"/>
        </w:tabs>
        <w:rPr>
          <w:sz w:val="20"/>
          <w:szCs w:val="20"/>
        </w:rPr>
      </w:pPr>
      <w:r w:rsidRPr="00CE74F8">
        <w:rPr>
          <w:sz w:val="20"/>
          <w:szCs w:val="20"/>
        </w:rPr>
        <w:t xml:space="preserve">       Ashlee Earl, CPA                                                   Ernst &amp; Young LLP</w:t>
      </w:r>
    </w:p>
    <w:p w14:paraId="105D985B" w14:textId="77777777" w:rsidR="00A64457" w:rsidRPr="00CE74F8" w:rsidRDefault="00A64457" w:rsidP="00A64457">
      <w:pPr>
        <w:pStyle w:val="NoSpacing"/>
        <w:tabs>
          <w:tab w:val="left" w:pos="360"/>
        </w:tabs>
        <w:rPr>
          <w:sz w:val="20"/>
          <w:szCs w:val="20"/>
        </w:rPr>
      </w:pPr>
      <w:r w:rsidRPr="00CE74F8">
        <w:rPr>
          <w:sz w:val="20"/>
          <w:szCs w:val="20"/>
        </w:rPr>
        <w:tab/>
        <w:t>Jason Eaves, CPA                                                  Crowe Horwath LLP</w:t>
      </w:r>
    </w:p>
    <w:p w14:paraId="71AA9C3F" w14:textId="77777777" w:rsidR="00A64457" w:rsidRPr="00CE74F8" w:rsidRDefault="00A64457" w:rsidP="00A64457">
      <w:pPr>
        <w:pStyle w:val="NoSpacing"/>
        <w:tabs>
          <w:tab w:val="left" w:pos="360"/>
        </w:tabs>
        <w:rPr>
          <w:sz w:val="20"/>
          <w:szCs w:val="20"/>
        </w:rPr>
      </w:pPr>
      <w:r w:rsidRPr="00CE74F8">
        <w:rPr>
          <w:sz w:val="20"/>
          <w:szCs w:val="20"/>
        </w:rPr>
        <w:tab/>
        <w:t>William Keirse, CPA</w:t>
      </w:r>
      <w:r w:rsidRPr="00CE74F8">
        <w:rPr>
          <w:sz w:val="20"/>
          <w:szCs w:val="20"/>
        </w:rPr>
        <w:tab/>
      </w:r>
      <w:r w:rsidRPr="00CE74F8">
        <w:rPr>
          <w:spacing w:val="-3"/>
          <w:sz w:val="20"/>
          <w:szCs w:val="20"/>
        </w:rPr>
        <w:t>(Vice Chair)</w:t>
      </w:r>
      <w:r w:rsidRPr="00CE74F8">
        <w:rPr>
          <w:sz w:val="20"/>
          <w:szCs w:val="20"/>
        </w:rPr>
        <w:tab/>
      </w:r>
      <w:r w:rsidRPr="00CE74F8">
        <w:rPr>
          <w:sz w:val="20"/>
          <w:szCs w:val="20"/>
        </w:rPr>
        <w:tab/>
        <w:t>Ernst &amp; Young LLP</w:t>
      </w:r>
    </w:p>
    <w:p w14:paraId="39390347" w14:textId="77777777" w:rsidR="00A64457" w:rsidRPr="00CE74F8" w:rsidRDefault="00A64457" w:rsidP="00A64457">
      <w:pPr>
        <w:pStyle w:val="NoSpacing"/>
        <w:tabs>
          <w:tab w:val="left" w:pos="360"/>
        </w:tabs>
        <w:rPr>
          <w:sz w:val="20"/>
          <w:szCs w:val="20"/>
        </w:rPr>
      </w:pPr>
      <w:r w:rsidRPr="00CE74F8">
        <w:rPr>
          <w:sz w:val="20"/>
          <w:szCs w:val="20"/>
        </w:rPr>
        <w:tab/>
        <w:t xml:space="preserve">Scott Lehman, CPA </w:t>
      </w:r>
      <w:proofErr w:type="gramStart"/>
      <w:r w:rsidRPr="00CE74F8">
        <w:rPr>
          <w:sz w:val="20"/>
          <w:szCs w:val="20"/>
        </w:rPr>
        <w:tab/>
        <w:t xml:space="preserve">  </w:t>
      </w:r>
      <w:r w:rsidRPr="00CE74F8">
        <w:rPr>
          <w:sz w:val="20"/>
          <w:szCs w:val="20"/>
        </w:rPr>
        <w:tab/>
      </w:r>
      <w:proofErr w:type="gramEnd"/>
      <w:r w:rsidRPr="00CE74F8">
        <w:rPr>
          <w:sz w:val="20"/>
          <w:szCs w:val="20"/>
        </w:rPr>
        <w:tab/>
      </w:r>
      <w:r w:rsidRPr="00CE74F8">
        <w:rPr>
          <w:sz w:val="20"/>
          <w:szCs w:val="20"/>
        </w:rPr>
        <w:tab/>
        <w:t>Crowe Horwath LLP</w:t>
      </w:r>
    </w:p>
    <w:p w14:paraId="5B3F89B1" w14:textId="77777777" w:rsidR="00A64457" w:rsidRPr="00CE74F8" w:rsidRDefault="00A64457" w:rsidP="00A64457">
      <w:pPr>
        <w:pStyle w:val="NoSpacing"/>
        <w:tabs>
          <w:tab w:val="left" w:pos="360"/>
        </w:tabs>
        <w:rPr>
          <w:sz w:val="20"/>
          <w:szCs w:val="20"/>
          <w:lang w:val="fr-FR"/>
        </w:rPr>
      </w:pPr>
      <w:r w:rsidRPr="00CE74F8">
        <w:rPr>
          <w:sz w:val="20"/>
          <w:szCs w:val="20"/>
        </w:rPr>
        <w:t xml:space="preserve">       </w:t>
      </w:r>
      <w:r w:rsidRPr="00CE74F8">
        <w:rPr>
          <w:sz w:val="20"/>
          <w:szCs w:val="20"/>
          <w:lang w:val="fr-FR"/>
        </w:rPr>
        <w:t>Melissa Lynch, CPA                                              Plante Moran, PLLC</w:t>
      </w:r>
    </w:p>
    <w:p w14:paraId="2F922F68" w14:textId="77777777" w:rsidR="00A64457" w:rsidRPr="00CE74F8" w:rsidRDefault="00A64457" w:rsidP="00A64457">
      <w:pPr>
        <w:pStyle w:val="NoSpacing"/>
        <w:tabs>
          <w:tab w:val="left" w:pos="360"/>
        </w:tabs>
        <w:rPr>
          <w:sz w:val="20"/>
          <w:szCs w:val="20"/>
          <w:lang w:val="fr-FR"/>
        </w:rPr>
      </w:pPr>
      <w:r w:rsidRPr="00CE74F8">
        <w:rPr>
          <w:sz w:val="20"/>
          <w:szCs w:val="20"/>
          <w:lang w:val="fr-FR"/>
        </w:rPr>
        <w:t xml:space="preserve">       Thomas Masterson,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16317609" w14:textId="77777777" w:rsidR="00A64457" w:rsidRPr="00CE74F8" w:rsidRDefault="00A64457" w:rsidP="00A64457">
      <w:pPr>
        <w:pStyle w:val="NoSpacing"/>
        <w:tabs>
          <w:tab w:val="left" w:pos="360"/>
        </w:tabs>
        <w:rPr>
          <w:sz w:val="20"/>
          <w:szCs w:val="20"/>
          <w:lang w:val="fr-FR"/>
        </w:rPr>
      </w:pPr>
      <w:r w:rsidRPr="00CE74F8">
        <w:rPr>
          <w:sz w:val="20"/>
          <w:szCs w:val="20"/>
          <w:lang w:val="fr-FR"/>
        </w:rPr>
        <w:t xml:space="preserve">       Reid Mitchell, CPA</w:t>
      </w:r>
      <w:proofErr w:type="gramStart"/>
      <w:r w:rsidRPr="00CE74F8">
        <w:rPr>
          <w:sz w:val="20"/>
          <w:szCs w:val="20"/>
        </w:rPr>
        <w:tab/>
      </w:r>
      <w:r w:rsidRPr="00CE74F8">
        <w:rPr>
          <w:sz w:val="20"/>
          <w:szCs w:val="20"/>
          <w:lang w:val="fr-FR"/>
        </w:rPr>
        <w:t xml:space="preserve">  </w:t>
      </w:r>
      <w:r w:rsidRPr="00CE74F8">
        <w:rPr>
          <w:sz w:val="20"/>
          <w:szCs w:val="20"/>
          <w:lang w:val="fr-FR"/>
        </w:rPr>
        <w:tab/>
      </w:r>
      <w:proofErr w:type="gramEnd"/>
      <w:r w:rsidRPr="00CE74F8">
        <w:rPr>
          <w:sz w:val="20"/>
          <w:szCs w:val="20"/>
          <w:lang w:val="fr-FR"/>
        </w:rPr>
        <w:tab/>
      </w:r>
      <w:r w:rsidRPr="00CE74F8">
        <w:rPr>
          <w:sz w:val="20"/>
          <w:szCs w:val="20"/>
          <w:lang w:val="fr-FR"/>
        </w:rPr>
        <w:tab/>
      </w:r>
      <w:proofErr w:type="spellStart"/>
      <w:r w:rsidRPr="00CE74F8">
        <w:rPr>
          <w:sz w:val="20"/>
          <w:szCs w:val="20"/>
          <w:lang w:val="fr-FR"/>
        </w:rPr>
        <w:t>Wipfli</w:t>
      </w:r>
      <w:proofErr w:type="spellEnd"/>
      <w:r w:rsidRPr="00CE74F8">
        <w:rPr>
          <w:sz w:val="20"/>
          <w:szCs w:val="20"/>
          <w:lang w:val="fr-FR"/>
        </w:rPr>
        <w:t xml:space="preserve"> LLP</w:t>
      </w:r>
    </w:p>
    <w:p w14:paraId="0289F52A" w14:textId="77777777" w:rsidR="00A64457" w:rsidRPr="00CE74F8" w:rsidRDefault="00A64457" w:rsidP="00A64457">
      <w:pPr>
        <w:pStyle w:val="NoSpacing"/>
        <w:tabs>
          <w:tab w:val="left" w:pos="360"/>
        </w:tabs>
        <w:rPr>
          <w:sz w:val="20"/>
          <w:szCs w:val="20"/>
        </w:rPr>
      </w:pPr>
      <w:r w:rsidRPr="00CE74F8">
        <w:rPr>
          <w:sz w:val="20"/>
          <w:szCs w:val="20"/>
        </w:rPr>
        <w:t xml:space="preserve">       Matthew Mitzen, CPA</w:t>
      </w:r>
      <w:proofErr w:type="gramStart"/>
      <w:r w:rsidRPr="00CE74F8">
        <w:rPr>
          <w:sz w:val="20"/>
          <w:szCs w:val="20"/>
        </w:rPr>
        <w:tab/>
        <w:t xml:space="preserve">  </w:t>
      </w:r>
      <w:r w:rsidRPr="00CE74F8">
        <w:rPr>
          <w:sz w:val="20"/>
          <w:szCs w:val="20"/>
        </w:rPr>
        <w:tab/>
      </w:r>
      <w:proofErr w:type="gramEnd"/>
      <w:r w:rsidRPr="00CE74F8">
        <w:rPr>
          <w:sz w:val="20"/>
          <w:szCs w:val="20"/>
        </w:rPr>
        <w:tab/>
        <w:t>Marcum LLP</w:t>
      </w:r>
    </w:p>
    <w:p w14:paraId="018F0116" w14:textId="77777777" w:rsidR="00A64457" w:rsidRDefault="00A64457" w:rsidP="00A64457">
      <w:pPr>
        <w:pStyle w:val="NoSpacing"/>
        <w:tabs>
          <w:tab w:val="left" w:pos="360"/>
        </w:tabs>
        <w:ind w:left="360" w:hanging="360"/>
        <w:rPr>
          <w:sz w:val="20"/>
          <w:szCs w:val="20"/>
          <w:lang w:val="fr-FR"/>
        </w:rPr>
      </w:pPr>
      <w:r w:rsidRPr="00CE74F8">
        <w:rPr>
          <w:sz w:val="20"/>
          <w:szCs w:val="20"/>
          <w:lang w:val="fr-FR"/>
        </w:rPr>
        <w:t xml:space="preserve">       Elizabeth Prossnitz, CPA</w:t>
      </w:r>
      <w:r w:rsidRPr="00CE74F8">
        <w:rPr>
          <w:sz w:val="20"/>
          <w:szCs w:val="20"/>
          <w:lang w:val="fr-FR"/>
        </w:rPr>
        <w:tab/>
      </w:r>
      <w:r w:rsidRPr="00CE74F8">
        <w:rPr>
          <w:sz w:val="20"/>
          <w:szCs w:val="20"/>
          <w:lang w:val="fr-FR"/>
        </w:rPr>
        <w:tab/>
      </w:r>
      <w:r w:rsidRPr="00CE74F8">
        <w:rPr>
          <w:sz w:val="20"/>
          <w:szCs w:val="20"/>
          <w:lang w:val="fr-FR"/>
        </w:rPr>
        <w:tab/>
        <w:t>BDO USA LLP</w:t>
      </w:r>
    </w:p>
    <w:p w14:paraId="66295EA4" w14:textId="77777777" w:rsidR="00A64457" w:rsidRPr="00CE74F8" w:rsidRDefault="00A64457" w:rsidP="00A64457">
      <w:pPr>
        <w:pStyle w:val="NoSpacing"/>
        <w:tabs>
          <w:tab w:val="left" w:pos="360"/>
        </w:tabs>
        <w:ind w:left="360" w:hanging="360"/>
        <w:rPr>
          <w:sz w:val="20"/>
          <w:szCs w:val="20"/>
          <w:lang w:val="fr-FR"/>
        </w:rPr>
      </w:pPr>
      <w:r>
        <w:rPr>
          <w:sz w:val="20"/>
          <w:szCs w:val="20"/>
          <w:lang w:val="fr-FR"/>
        </w:rPr>
        <w:t xml:space="preserve">       Darshana </w:t>
      </w:r>
      <w:proofErr w:type="spellStart"/>
      <w:r>
        <w:rPr>
          <w:sz w:val="20"/>
          <w:szCs w:val="20"/>
          <w:lang w:val="fr-FR"/>
        </w:rPr>
        <w:t>Raigaga</w:t>
      </w:r>
      <w:proofErr w:type="spellEnd"/>
      <w:r w:rsidRPr="00CE74F8">
        <w:rPr>
          <w:sz w:val="20"/>
          <w:szCs w:val="20"/>
          <w:lang w:val="fr-FR"/>
        </w:rPr>
        <w:t>, CPA</w:t>
      </w:r>
      <w:r w:rsidRPr="00CE74F8">
        <w:rPr>
          <w:sz w:val="20"/>
          <w:szCs w:val="20"/>
          <w:lang w:val="fr-FR"/>
        </w:rPr>
        <w:tab/>
      </w:r>
      <w:r w:rsidRPr="00CE74F8">
        <w:rPr>
          <w:sz w:val="20"/>
          <w:szCs w:val="20"/>
          <w:lang w:val="fr-FR"/>
        </w:rPr>
        <w:tab/>
      </w:r>
      <w:r w:rsidRPr="00CE74F8">
        <w:rPr>
          <w:sz w:val="20"/>
          <w:szCs w:val="20"/>
          <w:lang w:val="fr-FR"/>
        </w:rPr>
        <w:tab/>
        <w:t>BDO USA LLP</w:t>
      </w:r>
      <w:r w:rsidRPr="00CE74F8">
        <w:rPr>
          <w:sz w:val="20"/>
          <w:szCs w:val="20"/>
          <w:lang w:val="fr-FR"/>
        </w:rPr>
        <w:tab/>
      </w:r>
      <w:r w:rsidRPr="00CE74F8">
        <w:rPr>
          <w:sz w:val="20"/>
          <w:szCs w:val="20"/>
          <w:lang w:val="fr-FR"/>
        </w:rPr>
        <w:tab/>
      </w:r>
    </w:p>
    <w:p w14:paraId="5C20AC83" w14:textId="77777777" w:rsidR="00A64457" w:rsidRPr="00CE74F8" w:rsidRDefault="00A64457" w:rsidP="00A64457">
      <w:pPr>
        <w:pStyle w:val="NoSpacing"/>
        <w:tabs>
          <w:tab w:val="left" w:pos="360"/>
        </w:tabs>
        <w:ind w:left="360" w:hanging="360"/>
        <w:rPr>
          <w:sz w:val="20"/>
          <w:szCs w:val="20"/>
          <w:lang w:val="fr-FR"/>
        </w:rPr>
      </w:pPr>
      <w:r w:rsidRPr="00CE74F8">
        <w:rPr>
          <w:sz w:val="20"/>
          <w:szCs w:val="20"/>
          <w:lang w:val="fr-FR"/>
        </w:rPr>
        <w:t xml:space="preserve">  </w:t>
      </w:r>
      <w:proofErr w:type="gramStart"/>
      <w:r w:rsidRPr="00CE74F8">
        <w:rPr>
          <w:b/>
          <w:sz w:val="20"/>
          <w:szCs w:val="20"/>
          <w:lang w:val="fr-FR"/>
        </w:rPr>
        <w:t>Medium:</w:t>
      </w:r>
      <w:proofErr w:type="gramEnd"/>
      <w:r w:rsidRPr="00CE74F8">
        <w:rPr>
          <w:b/>
          <w:sz w:val="20"/>
          <w:szCs w:val="20"/>
          <w:lang w:val="fr-FR"/>
        </w:rPr>
        <w:t xml:space="preserve"> </w:t>
      </w:r>
      <w:r w:rsidRPr="00CE74F8">
        <w:rPr>
          <w:sz w:val="20"/>
          <w:szCs w:val="20"/>
          <w:lang w:val="fr-FR"/>
        </w:rPr>
        <w:t xml:space="preserve">(more </w:t>
      </w:r>
      <w:proofErr w:type="spellStart"/>
      <w:r w:rsidRPr="00CE74F8">
        <w:rPr>
          <w:sz w:val="20"/>
          <w:szCs w:val="20"/>
          <w:lang w:val="fr-FR"/>
        </w:rPr>
        <w:t>than</w:t>
      </w:r>
      <w:proofErr w:type="spellEnd"/>
      <w:r w:rsidRPr="00CE74F8">
        <w:rPr>
          <w:sz w:val="20"/>
          <w:szCs w:val="20"/>
          <w:lang w:val="fr-FR"/>
        </w:rPr>
        <w:t xml:space="preserve"> 40 </w:t>
      </w:r>
      <w:r w:rsidRPr="00CE74F8">
        <w:rPr>
          <w:sz w:val="20"/>
          <w:szCs w:val="20"/>
        </w:rPr>
        <w:t>professionals</w:t>
      </w:r>
      <w:r w:rsidRPr="00CE74F8">
        <w:rPr>
          <w:sz w:val="20"/>
          <w:szCs w:val="20"/>
          <w:lang w:val="fr-FR"/>
        </w:rPr>
        <w:t>)</w:t>
      </w:r>
      <w:r w:rsidRPr="00CE74F8">
        <w:rPr>
          <w:sz w:val="20"/>
          <w:szCs w:val="20"/>
          <w:lang w:val="fr-FR"/>
        </w:rPr>
        <w:br/>
        <w:t xml:space="preserve">Almira Goethe, CPA                               </w:t>
      </w:r>
      <w:r w:rsidRPr="00CE74F8">
        <w:rPr>
          <w:sz w:val="20"/>
          <w:szCs w:val="20"/>
          <w:lang w:val="fr-FR"/>
        </w:rPr>
        <w:tab/>
      </w:r>
      <w:r w:rsidRPr="00CE74F8">
        <w:rPr>
          <w:sz w:val="20"/>
          <w:szCs w:val="20"/>
          <w:lang w:val="fr-FR"/>
        </w:rPr>
        <w:tab/>
        <w:t>CDH, PC</w:t>
      </w:r>
    </w:p>
    <w:p w14:paraId="6C86FCBF" w14:textId="77777777" w:rsidR="00A64457" w:rsidRPr="00CE74F8" w:rsidRDefault="00A64457" w:rsidP="00A64457">
      <w:pPr>
        <w:pStyle w:val="NoSpacing"/>
        <w:tabs>
          <w:tab w:val="left" w:pos="360"/>
        </w:tabs>
        <w:rPr>
          <w:b/>
          <w:sz w:val="20"/>
          <w:szCs w:val="20"/>
        </w:rPr>
      </w:pPr>
      <w:r w:rsidRPr="00CE74F8">
        <w:rPr>
          <w:spacing w:val="-3"/>
          <w:sz w:val="20"/>
          <w:szCs w:val="20"/>
          <w:lang w:val="fr-FR"/>
        </w:rPr>
        <w:t xml:space="preserve">  </w:t>
      </w:r>
      <w:r w:rsidRPr="00CE74F8">
        <w:rPr>
          <w:spacing w:val="-3"/>
          <w:sz w:val="20"/>
          <w:szCs w:val="20"/>
          <w:lang w:val="fr-FR"/>
        </w:rPr>
        <w:tab/>
      </w:r>
      <w:r w:rsidRPr="00CE74F8">
        <w:rPr>
          <w:spacing w:val="-3"/>
          <w:sz w:val="20"/>
          <w:szCs w:val="20"/>
        </w:rPr>
        <w:t>Danielle Martin,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Porte Brown LLC</w:t>
      </w:r>
      <w:r w:rsidRPr="00CE74F8">
        <w:rPr>
          <w:spacing w:val="-3"/>
          <w:sz w:val="20"/>
          <w:szCs w:val="20"/>
        </w:rPr>
        <w:br/>
        <w:t xml:space="preserve">     </w:t>
      </w:r>
      <w:r w:rsidRPr="00CE74F8">
        <w:rPr>
          <w:spacing w:val="-3"/>
          <w:sz w:val="20"/>
          <w:szCs w:val="20"/>
        </w:rPr>
        <w:tab/>
        <w:t xml:space="preserve">Iryna Prokhorov, CPA                                             </w:t>
      </w:r>
      <w:r w:rsidRPr="00CE74F8">
        <w:rPr>
          <w:spacing w:val="-3"/>
          <w:sz w:val="20"/>
          <w:szCs w:val="20"/>
        </w:rPr>
        <w:tab/>
        <w:t xml:space="preserve">Mueller &amp; Company, LLP  </w:t>
      </w:r>
      <w:r w:rsidRPr="00CE74F8">
        <w:rPr>
          <w:spacing w:val="-3"/>
          <w:sz w:val="20"/>
          <w:szCs w:val="20"/>
        </w:rPr>
        <w:br/>
      </w:r>
      <w:r w:rsidRPr="00CE74F8">
        <w:rPr>
          <w:snapToGrid w:val="0"/>
          <w:color w:val="000000"/>
          <w:sz w:val="20"/>
          <w:szCs w:val="20"/>
        </w:rPr>
        <w:t xml:space="preserve">    </w:t>
      </w:r>
      <w:r w:rsidRPr="00CE74F8">
        <w:rPr>
          <w:snapToGrid w:val="0"/>
          <w:color w:val="000000"/>
          <w:sz w:val="20"/>
          <w:szCs w:val="20"/>
        </w:rPr>
        <w:tab/>
        <w:t xml:space="preserve">Jeffery Watson, CPA </w:t>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snapToGrid w:val="0"/>
          <w:color w:val="000000"/>
          <w:sz w:val="20"/>
          <w:szCs w:val="20"/>
        </w:rPr>
        <w:tab/>
      </w:r>
      <w:r w:rsidRPr="00CE74F8">
        <w:rPr>
          <w:bCs/>
          <w:sz w:val="20"/>
          <w:szCs w:val="20"/>
        </w:rPr>
        <w:t>Miller Cooper &amp; Company Ltd</w:t>
      </w:r>
      <w:r w:rsidRPr="00CE74F8">
        <w:rPr>
          <w:spacing w:val="-3"/>
          <w:sz w:val="20"/>
          <w:szCs w:val="20"/>
        </w:rPr>
        <w:br/>
      </w:r>
      <w:r w:rsidRPr="00CE74F8">
        <w:rPr>
          <w:b/>
          <w:spacing w:val="-3"/>
          <w:sz w:val="20"/>
          <w:szCs w:val="20"/>
        </w:rPr>
        <w:t xml:space="preserve">  Small: </w:t>
      </w:r>
      <w:r w:rsidRPr="00CE74F8">
        <w:rPr>
          <w:spacing w:val="-3"/>
          <w:sz w:val="20"/>
          <w:szCs w:val="20"/>
        </w:rPr>
        <w:t>(less than 40 professionals)</w:t>
      </w:r>
      <w:r w:rsidRPr="00CE74F8">
        <w:rPr>
          <w:spacing w:val="-3"/>
          <w:sz w:val="20"/>
          <w:szCs w:val="20"/>
        </w:rPr>
        <w:br/>
        <w:t xml:space="preserve">     </w:t>
      </w:r>
      <w:r w:rsidRPr="00CE74F8">
        <w:rPr>
          <w:spacing w:val="-3"/>
          <w:sz w:val="20"/>
          <w:szCs w:val="20"/>
        </w:rPr>
        <w:tab/>
        <w:t>Peggy Brady, CPA</w:t>
      </w:r>
      <w:r w:rsidRPr="00CE74F8">
        <w:rPr>
          <w:spacing w:val="-3"/>
          <w:sz w:val="20"/>
          <w:szCs w:val="20"/>
        </w:rPr>
        <w:tab/>
      </w:r>
      <w:r w:rsidRPr="00CE74F8">
        <w:rPr>
          <w:spacing w:val="-3"/>
          <w:sz w:val="20"/>
          <w:szCs w:val="20"/>
        </w:rPr>
        <w:tab/>
      </w:r>
      <w:r w:rsidRPr="00CE74F8">
        <w:rPr>
          <w:spacing w:val="-3"/>
          <w:sz w:val="20"/>
          <w:szCs w:val="20"/>
        </w:rPr>
        <w:tab/>
      </w:r>
      <w:r w:rsidRPr="00CE74F8">
        <w:rPr>
          <w:spacing w:val="-3"/>
          <w:sz w:val="20"/>
          <w:szCs w:val="20"/>
        </w:rPr>
        <w:tab/>
        <w:t>Selden Fox, Ltd.</w:t>
      </w:r>
      <w:r w:rsidRPr="00CE74F8">
        <w:rPr>
          <w:spacing w:val="-3"/>
          <w:sz w:val="20"/>
          <w:szCs w:val="20"/>
        </w:rPr>
        <w:br/>
        <w:t xml:space="preserve">     </w:t>
      </w:r>
      <w:r w:rsidRPr="00CE74F8">
        <w:rPr>
          <w:spacing w:val="-3"/>
          <w:sz w:val="20"/>
          <w:szCs w:val="20"/>
        </w:rPr>
        <w:tab/>
        <w:t>Brian Kot, CPA (Chair)</w:t>
      </w:r>
      <w:r w:rsidRPr="00CE74F8">
        <w:rPr>
          <w:spacing w:val="-3"/>
          <w:sz w:val="20"/>
          <w:szCs w:val="20"/>
        </w:rPr>
        <w:tab/>
      </w:r>
      <w:r w:rsidRPr="00CE74F8">
        <w:rPr>
          <w:spacing w:val="-3"/>
          <w:sz w:val="20"/>
          <w:szCs w:val="20"/>
        </w:rPr>
        <w:tab/>
      </w:r>
      <w:r w:rsidRPr="00CE74F8">
        <w:rPr>
          <w:spacing w:val="-3"/>
          <w:sz w:val="20"/>
          <w:szCs w:val="20"/>
        </w:rPr>
        <w:tab/>
        <w:t>Cray Kaiser Ltd CPAs</w:t>
      </w:r>
      <w:r w:rsidRPr="00CE74F8">
        <w:rPr>
          <w:spacing w:val="-3"/>
          <w:sz w:val="20"/>
          <w:szCs w:val="20"/>
        </w:rPr>
        <w:br/>
      </w:r>
      <w:r w:rsidRPr="00CE74F8">
        <w:rPr>
          <w:b/>
          <w:sz w:val="20"/>
          <w:szCs w:val="20"/>
        </w:rPr>
        <w:t>Educators:</w:t>
      </w:r>
    </w:p>
    <w:p w14:paraId="119B1F74" w14:textId="77777777" w:rsidR="00A64457" w:rsidRPr="00CE74F8" w:rsidRDefault="00A64457" w:rsidP="00A64457">
      <w:pPr>
        <w:pStyle w:val="NoSpacing"/>
        <w:tabs>
          <w:tab w:val="left" w:pos="360"/>
        </w:tabs>
        <w:rPr>
          <w:sz w:val="20"/>
          <w:szCs w:val="20"/>
        </w:rPr>
      </w:pPr>
      <w:r w:rsidRPr="00CE74F8">
        <w:rPr>
          <w:sz w:val="20"/>
          <w:szCs w:val="20"/>
        </w:rPr>
        <w:tab/>
        <w:t>John Hepp, CPA</w:t>
      </w:r>
      <w:r w:rsidRPr="00CE74F8">
        <w:rPr>
          <w:sz w:val="20"/>
          <w:szCs w:val="20"/>
        </w:rPr>
        <w:tab/>
      </w:r>
      <w:r w:rsidRPr="00CE74F8">
        <w:rPr>
          <w:sz w:val="20"/>
          <w:szCs w:val="20"/>
        </w:rPr>
        <w:tab/>
      </w:r>
      <w:r w:rsidRPr="00CE74F8">
        <w:rPr>
          <w:sz w:val="20"/>
          <w:szCs w:val="20"/>
        </w:rPr>
        <w:tab/>
      </w:r>
      <w:r w:rsidRPr="00CE74F8">
        <w:rPr>
          <w:sz w:val="20"/>
          <w:szCs w:val="20"/>
        </w:rPr>
        <w:tab/>
        <w:t>University of Illinois at Urbana-Champaign</w:t>
      </w:r>
      <w:r w:rsidRPr="00CE74F8">
        <w:rPr>
          <w:sz w:val="20"/>
          <w:szCs w:val="20"/>
        </w:rPr>
        <w:tab/>
      </w:r>
      <w:r w:rsidRPr="00CE74F8">
        <w:rPr>
          <w:sz w:val="20"/>
          <w:szCs w:val="20"/>
        </w:rPr>
        <w:tab/>
      </w:r>
    </w:p>
    <w:p w14:paraId="0712668F" w14:textId="77777777" w:rsidR="00A64457" w:rsidRPr="00CE74F8" w:rsidRDefault="00A64457" w:rsidP="00A64457">
      <w:pPr>
        <w:pStyle w:val="NoSpacing"/>
        <w:rPr>
          <w:b/>
          <w:sz w:val="20"/>
          <w:szCs w:val="20"/>
        </w:rPr>
      </w:pPr>
      <w:r w:rsidRPr="00CE74F8">
        <w:rPr>
          <w:b/>
          <w:sz w:val="20"/>
          <w:szCs w:val="20"/>
        </w:rPr>
        <w:t>Industry:</w:t>
      </w:r>
    </w:p>
    <w:p w14:paraId="67F51F03" w14:textId="77777777" w:rsidR="00A64457" w:rsidRPr="00CE74F8" w:rsidRDefault="00A64457" w:rsidP="00A64457">
      <w:pPr>
        <w:pStyle w:val="NoSpacing"/>
        <w:tabs>
          <w:tab w:val="left" w:pos="360"/>
        </w:tabs>
        <w:rPr>
          <w:sz w:val="20"/>
          <w:szCs w:val="20"/>
        </w:rPr>
      </w:pPr>
      <w:r w:rsidRPr="00CE74F8">
        <w:rPr>
          <w:sz w:val="20"/>
          <w:szCs w:val="20"/>
        </w:rPr>
        <w:tab/>
        <w:t xml:space="preserve">Jason Crider, CPA                                                </w:t>
      </w:r>
      <w:r w:rsidRPr="00CE74F8">
        <w:rPr>
          <w:sz w:val="20"/>
          <w:szCs w:val="20"/>
        </w:rPr>
        <w:tab/>
        <w:t>Molto Properties LLC</w:t>
      </w:r>
    </w:p>
    <w:p w14:paraId="41B3B698" w14:textId="77777777" w:rsidR="00A64457" w:rsidRPr="00CE74F8" w:rsidRDefault="00A64457" w:rsidP="00A64457">
      <w:pPr>
        <w:pStyle w:val="NoSpacing"/>
        <w:tabs>
          <w:tab w:val="left" w:pos="360"/>
        </w:tabs>
        <w:rPr>
          <w:sz w:val="20"/>
          <w:szCs w:val="20"/>
        </w:rPr>
      </w:pPr>
      <w:r w:rsidRPr="00CE74F8">
        <w:rPr>
          <w:sz w:val="20"/>
          <w:szCs w:val="20"/>
        </w:rPr>
        <w:t xml:space="preserve">       </w:t>
      </w:r>
      <w:r w:rsidRPr="00CE74F8">
        <w:rPr>
          <w:sz w:val="20"/>
          <w:szCs w:val="20"/>
        </w:rPr>
        <w:tab/>
        <w:t>Jeffrey Ellis, CPA</w:t>
      </w:r>
      <w:r w:rsidRPr="00CE74F8">
        <w:rPr>
          <w:sz w:val="20"/>
          <w:szCs w:val="20"/>
        </w:rPr>
        <w:tab/>
      </w:r>
      <w:r w:rsidRPr="00CE74F8">
        <w:rPr>
          <w:sz w:val="20"/>
          <w:szCs w:val="20"/>
        </w:rPr>
        <w:tab/>
      </w:r>
      <w:r w:rsidRPr="00CE74F8">
        <w:rPr>
          <w:sz w:val="20"/>
          <w:szCs w:val="20"/>
        </w:rPr>
        <w:tab/>
      </w:r>
      <w:r w:rsidRPr="00CE74F8">
        <w:rPr>
          <w:sz w:val="20"/>
          <w:szCs w:val="20"/>
        </w:rPr>
        <w:tab/>
        <w:t xml:space="preserve">FTI Consulting, Inc. </w:t>
      </w:r>
      <w:r w:rsidRPr="00CE74F8">
        <w:rPr>
          <w:sz w:val="20"/>
          <w:szCs w:val="20"/>
        </w:rPr>
        <w:tab/>
      </w:r>
    </w:p>
    <w:p w14:paraId="2670AC67" w14:textId="77777777" w:rsidR="00A64457" w:rsidRPr="00CE74F8" w:rsidRDefault="00A64457" w:rsidP="00A64457">
      <w:pPr>
        <w:pStyle w:val="NoSpacing"/>
        <w:tabs>
          <w:tab w:val="left" w:pos="360"/>
        </w:tabs>
        <w:rPr>
          <w:sz w:val="20"/>
          <w:szCs w:val="20"/>
          <w:lang w:val="fr-FR"/>
        </w:rPr>
      </w:pPr>
      <w:r w:rsidRPr="00CE74F8">
        <w:rPr>
          <w:sz w:val="20"/>
          <w:szCs w:val="20"/>
        </w:rPr>
        <w:tab/>
        <w:t xml:space="preserve">Adam Karac, CPA                                                 </w:t>
      </w:r>
      <w:r w:rsidRPr="00CE74F8">
        <w:rPr>
          <w:sz w:val="20"/>
          <w:szCs w:val="20"/>
        </w:rPr>
        <w:tab/>
        <w:t>Consultant</w:t>
      </w:r>
      <w:r w:rsidRPr="00CE74F8">
        <w:rPr>
          <w:sz w:val="20"/>
          <w:szCs w:val="20"/>
          <w:lang w:val="fr-FR"/>
        </w:rPr>
        <w:t xml:space="preserve"> </w:t>
      </w:r>
    </w:p>
    <w:p w14:paraId="4B92B453" w14:textId="77777777" w:rsidR="00A64457" w:rsidRDefault="00A64457" w:rsidP="00A64457">
      <w:pPr>
        <w:tabs>
          <w:tab w:val="left" w:pos="360"/>
        </w:tabs>
        <w:spacing w:after="0"/>
        <w:ind w:left="360"/>
        <w:rPr>
          <w:spacing w:val="-3"/>
          <w:sz w:val="20"/>
          <w:szCs w:val="20"/>
        </w:rPr>
      </w:pPr>
      <w:r w:rsidRPr="00CE74F8">
        <w:rPr>
          <w:spacing w:val="-3"/>
          <w:sz w:val="20"/>
          <w:szCs w:val="20"/>
        </w:rPr>
        <w:t>Michael Maffei,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t>GATX Corporation</w:t>
      </w:r>
    </w:p>
    <w:p w14:paraId="561CA3E0" w14:textId="77777777" w:rsidR="00A64457" w:rsidRDefault="00A64457" w:rsidP="00A64457">
      <w:pPr>
        <w:tabs>
          <w:tab w:val="left" w:pos="360"/>
        </w:tabs>
        <w:spacing w:after="0"/>
        <w:ind w:left="360"/>
        <w:rPr>
          <w:spacing w:val="-3"/>
          <w:sz w:val="20"/>
          <w:szCs w:val="20"/>
        </w:rPr>
      </w:pPr>
      <w:r>
        <w:rPr>
          <w:spacing w:val="-3"/>
          <w:sz w:val="20"/>
          <w:szCs w:val="20"/>
        </w:rPr>
        <w:t xml:space="preserve">Lisa </w:t>
      </w:r>
      <w:proofErr w:type="spellStart"/>
      <w:r>
        <w:rPr>
          <w:spacing w:val="-3"/>
          <w:sz w:val="20"/>
          <w:szCs w:val="20"/>
        </w:rPr>
        <w:t>Sezonov</w:t>
      </w:r>
      <w:proofErr w:type="spellEnd"/>
      <w:r w:rsidRPr="00CE74F8">
        <w:rPr>
          <w:spacing w:val="-3"/>
          <w:sz w:val="20"/>
          <w:szCs w:val="20"/>
        </w:rPr>
        <w:t>, CPA</w:t>
      </w:r>
      <w:r w:rsidRPr="00CE74F8">
        <w:rPr>
          <w:spacing w:val="-3"/>
          <w:sz w:val="20"/>
          <w:szCs w:val="20"/>
        </w:rPr>
        <w:tab/>
        <w:t xml:space="preserve"> </w:t>
      </w:r>
      <w:r w:rsidRPr="00CE74F8">
        <w:rPr>
          <w:spacing w:val="-3"/>
          <w:sz w:val="20"/>
          <w:szCs w:val="20"/>
        </w:rPr>
        <w:tab/>
      </w:r>
      <w:r w:rsidRPr="00CE74F8">
        <w:rPr>
          <w:spacing w:val="-3"/>
          <w:sz w:val="20"/>
          <w:szCs w:val="20"/>
        </w:rPr>
        <w:tab/>
        <w:t xml:space="preserve">               </w:t>
      </w:r>
      <w:r w:rsidRPr="00CE74F8">
        <w:rPr>
          <w:spacing w:val="-3"/>
          <w:sz w:val="20"/>
          <w:szCs w:val="20"/>
        </w:rPr>
        <w:tab/>
      </w:r>
      <w:r>
        <w:rPr>
          <w:spacing w:val="-3"/>
          <w:sz w:val="20"/>
          <w:szCs w:val="20"/>
        </w:rPr>
        <w:t>Northern Trust</w:t>
      </w:r>
    </w:p>
    <w:p w14:paraId="23C7AC68" w14:textId="77777777" w:rsidR="00A64457" w:rsidRDefault="00A64457" w:rsidP="00A64457">
      <w:pPr>
        <w:tabs>
          <w:tab w:val="left" w:pos="360"/>
        </w:tabs>
        <w:spacing w:after="0"/>
        <w:ind w:left="360"/>
        <w:rPr>
          <w:spacing w:val="-3"/>
          <w:sz w:val="20"/>
          <w:szCs w:val="20"/>
        </w:rPr>
      </w:pPr>
      <w:r w:rsidRPr="00CE74F8">
        <w:rPr>
          <w:spacing w:val="-3"/>
          <w:sz w:val="20"/>
          <w:szCs w:val="20"/>
        </w:rPr>
        <w:t>Richard Tarapchak, CPA</w:t>
      </w:r>
      <w:r w:rsidRPr="00CE74F8">
        <w:rPr>
          <w:spacing w:val="-3"/>
          <w:sz w:val="20"/>
          <w:szCs w:val="20"/>
        </w:rPr>
        <w:tab/>
      </w:r>
      <w:r w:rsidRPr="00CE74F8">
        <w:rPr>
          <w:spacing w:val="-3"/>
          <w:sz w:val="20"/>
          <w:szCs w:val="20"/>
        </w:rPr>
        <w:tab/>
        <w:t xml:space="preserve">               Reynolds Group Holdings</w:t>
      </w:r>
    </w:p>
    <w:p w14:paraId="3E2DD810" w14:textId="77777777" w:rsidR="00A64457" w:rsidRDefault="00A64457" w:rsidP="00A64457">
      <w:pPr>
        <w:tabs>
          <w:tab w:val="left" w:pos="360"/>
        </w:tabs>
        <w:spacing w:after="0"/>
        <w:ind w:left="360"/>
        <w:rPr>
          <w:spacing w:val="-3"/>
          <w:sz w:val="20"/>
          <w:szCs w:val="20"/>
        </w:rPr>
      </w:pPr>
      <w:r>
        <w:rPr>
          <w:spacing w:val="-3"/>
          <w:sz w:val="20"/>
          <w:szCs w:val="20"/>
        </w:rPr>
        <w:t>William Wang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MAT Holdings, Inc.</w:t>
      </w:r>
    </w:p>
    <w:p w14:paraId="7FC6C62F" w14:textId="77777777" w:rsidR="00A64457" w:rsidRDefault="00A64457" w:rsidP="00A64457">
      <w:pPr>
        <w:tabs>
          <w:tab w:val="left" w:pos="360"/>
        </w:tabs>
        <w:spacing w:after="0"/>
        <w:ind w:left="360"/>
        <w:rPr>
          <w:spacing w:val="-3"/>
          <w:sz w:val="20"/>
          <w:szCs w:val="20"/>
        </w:rPr>
      </w:pPr>
      <w:r>
        <w:rPr>
          <w:spacing w:val="-3"/>
          <w:sz w:val="20"/>
          <w:szCs w:val="20"/>
        </w:rPr>
        <w:t>Daniel Wilfong</w:t>
      </w:r>
      <w:r w:rsidRPr="00CE74F8">
        <w:rPr>
          <w:spacing w:val="-3"/>
          <w:sz w:val="20"/>
          <w:szCs w:val="20"/>
        </w:rPr>
        <w:t>, CPA</w:t>
      </w:r>
      <w:r w:rsidRPr="00CE74F8">
        <w:rPr>
          <w:spacing w:val="-3"/>
          <w:sz w:val="20"/>
          <w:szCs w:val="20"/>
        </w:rPr>
        <w:tab/>
      </w:r>
      <w:r w:rsidRPr="00CE74F8">
        <w:rPr>
          <w:spacing w:val="-3"/>
          <w:sz w:val="20"/>
          <w:szCs w:val="20"/>
        </w:rPr>
        <w:tab/>
        <w:t xml:space="preserve">               </w:t>
      </w:r>
      <w:r>
        <w:rPr>
          <w:spacing w:val="-3"/>
          <w:sz w:val="20"/>
          <w:szCs w:val="20"/>
        </w:rPr>
        <w:t xml:space="preserve">               Sunset Transportation, Inc.</w:t>
      </w:r>
    </w:p>
    <w:p w14:paraId="07ADFA41" w14:textId="77777777" w:rsidR="00A64457" w:rsidRDefault="00A64457" w:rsidP="00A64457">
      <w:pPr>
        <w:tabs>
          <w:tab w:val="left" w:pos="360"/>
          <w:tab w:val="left" w:pos="4230"/>
        </w:tabs>
        <w:spacing w:after="0"/>
        <w:rPr>
          <w:b/>
          <w:sz w:val="20"/>
          <w:szCs w:val="20"/>
        </w:rPr>
      </w:pPr>
    </w:p>
    <w:p w14:paraId="386648C9" w14:textId="77777777" w:rsidR="00A64457" w:rsidRPr="003549C9" w:rsidRDefault="00A64457" w:rsidP="00A64457">
      <w:r w:rsidRPr="00CE74F8">
        <w:rPr>
          <w:b/>
          <w:sz w:val="20"/>
          <w:szCs w:val="20"/>
        </w:rPr>
        <w:t>Staff Representative:</w:t>
      </w:r>
      <w:r w:rsidRPr="00CE74F8">
        <w:rPr>
          <w:sz w:val="20"/>
          <w:szCs w:val="20"/>
        </w:rPr>
        <w:t xml:space="preserve"> Rafael Wiesenberg, CPA</w:t>
      </w:r>
      <w:r w:rsidRPr="00CE74F8">
        <w:rPr>
          <w:sz w:val="20"/>
          <w:szCs w:val="20"/>
        </w:rPr>
        <w:tab/>
        <w:t>Illinois CPA Society</w:t>
      </w:r>
      <w:bookmarkStart w:id="0" w:name="_GoBack"/>
      <w:bookmarkEnd w:id="0"/>
    </w:p>
    <w:sectPr w:rsidR="00A64457" w:rsidRPr="0035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B1"/>
    <w:rsid w:val="00014E99"/>
    <w:rsid w:val="00021DEE"/>
    <w:rsid w:val="000543F5"/>
    <w:rsid w:val="000616C6"/>
    <w:rsid w:val="000656AC"/>
    <w:rsid w:val="00081162"/>
    <w:rsid w:val="0008452F"/>
    <w:rsid w:val="0008740F"/>
    <w:rsid w:val="000A2652"/>
    <w:rsid w:val="000B1299"/>
    <w:rsid w:val="000B4E51"/>
    <w:rsid w:val="000D325A"/>
    <w:rsid w:val="00106355"/>
    <w:rsid w:val="0011738C"/>
    <w:rsid w:val="0014492D"/>
    <w:rsid w:val="00147C42"/>
    <w:rsid w:val="00147EB1"/>
    <w:rsid w:val="00162399"/>
    <w:rsid w:val="00165E0C"/>
    <w:rsid w:val="00167F22"/>
    <w:rsid w:val="0017074F"/>
    <w:rsid w:val="0017080B"/>
    <w:rsid w:val="00173426"/>
    <w:rsid w:val="00173798"/>
    <w:rsid w:val="001851D8"/>
    <w:rsid w:val="00190F3B"/>
    <w:rsid w:val="001A138C"/>
    <w:rsid w:val="001B2F8F"/>
    <w:rsid w:val="001D56B9"/>
    <w:rsid w:val="001F5858"/>
    <w:rsid w:val="00202EC0"/>
    <w:rsid w:val="002126B9"/>
    <w:rsid w:val="00220D8D"/>
    <w:rsid w:val="00225AA4"/>
    <w:rsid w:val="00242458"/>
    <w:rsid w:val="00245FEC"/>
    <w:rsid w:val="00251112"/>
    <w:rsid w:val="00253700"/>
    <w:rsid w:val="0027669C"/>
    <w:rsid w:val="00290FB8"/>
    <w:rsid w:val="0029707F"/>
    <w:rsid w:val="002D0D67"/>
    <w:rsid w:val="002D3219"/>
    <w:rsid w:val="002D7463"/>
    <w:rsid w:val="002E7CD0"/>
    <w:rsid w:val="0030146B"/>
    <w:rsid w:val="003040E2"/>
    <w:rsid w:val="00306C85"/>
    <w:rsid w:val="00311983"/>
    <w:rsid w:val="003237D8"/>
    <w:rsid w:val="00324EB0"/>
    <w:rsid w:val="0034562E"/>
    <w:rsid w:val="003533BB"/>
    <w:rsid w:val="00353DD8"/>
    <w:rsid w:val="003549C9"/>
    <w:rsid w:val="00354E48"/>
    <w:rsid w:val="00382B96"/>
    <w:rsid w:val="00387FE3"/>
    <w:rsid w:val="00396F0F"/>
    <w:rsid w:val="003A0F6D"/>
    <w:rsid w:val="003B65CB"/>
    <w:rsid w:val="003B7E1F"/>
    <w:rsid w:val="003C3C44"/>
    <w:rsid w:val="003C6497"/>
    <w:rsid w:val="003D47B7"/>
    <w:rsid w:val="003E6187"/>
    <w:rsid w:val="00403569"/>
    <w:rsid w:val="00405F50"/>
    <w:rsid w:val="00406764"/>
    <w:rsid w:val="004178DB"/>
    <w:rsid w:val="004310DC"/>
    <w:rsid w:val="00475300"/>
    <w:rsid w:val="004817CE"/>
    <w:rsid w:val="004C026D"/>
    <w:rsid w:val="004C7536"/>
    <w:rsid w:val="004C7F27"/>
    <w:rsid w:val="004D230F"/>
    <w:rsid w:val="004D53B2"/>
    <w:rsid w:val="004E2D53"/>
    <w:rsid w:val="004F1B07"/>
    <w:rsid w:val="004F259E"/>
    <w:rsid w:val="005068EF"/>
    <w:rsid w:val="00520CF9"/>
    <w:rsid w:val="005360A5"/>
    <w:rsid w:val="00557600"/>
    <w:rsid w:val="00570377"/>
    <w:rsid w:val="0057159E"/>
    <w:rsid w:val="00593E1D"/>
    <w:rsid w:val="005A2435"/>
    <w:rsid w:val="005A4C1C"/>
    <w:rsid w:val="005C2DBF"/>
    <w:rsid w:val="005D0840"/>
    <w:rsid w:val="005E3B80"/>
    <w:rsid w:val="005F44A3"/>
    <w:rsid w:val="00634973"/>
    <w:rsid w:val="00637121"/>
    <w:rsid w:val="006411D7"/>
    <w:rsid w:val="00653550"/>
    <w:rsid w:val="006546D6"/>
    <w:rsid w:val="00654710"/>
    <w:rsid w:val="00672A92"/>
    <w:rsid w:val="006766C1"/>
    <w:rsid w:val="00685362"/>
    <w:rsid w:val="006A1F5E"/>
    <w:rsid w:val="006C030E"/>
    <w:rsid w:val="006C59C1"/>
    <w:rsid w:val="006D362D"/>
    <w:rsid w:val="006E3777"/>
    <w:rsid w:val="007038F1"/>
    <w:rsid w:val="00711972"/>
    <w:rsid w:val="0071745C"/>
    <w:rsid w:val="0072547F"/>
    <w:rsid w:val="00740BD5"/>
    <w:rsid w:val="007417DB"/>
    <w:rsid w:val="007551A4"/>
    <w:rsid w:val="00762EDD"/>
    <w:rsid w:val="00767AD3"/>
    <w:rsid w:val="00782E38"/>
    <w:rsid w:val="00783FB8"/>
    <w:rsid w:val="0079276C"/>
    <w:rsid w:val="00797E99"/>
    <w:rsid w:val="007A1040"/>
    <w:rsid w:val="007A21A4"/>
    <w:rsid w:val="007B17CE"/>
    <w:rsid w:val="007B675B"/>
    <w:rsid w:val="007C16CA"/>
    <w:rsid w:val="007C1FCD"/>
    <w:rsid w:val="007C74CE"/>
    <w:rsid w:val="008176EB"/>
    <w:rsid w:val="00833A60"/>
    <w:rsid w:val="00881234"/>
    <w:rsid w:val="00893E0D"/>
    <w:rsid w:val="00897290"/>
    <w:rsid w:val="008B7CF2"/>
    <w:rsid w:val="008C2439"/>
    <w:rsid w:val="008E35F7"/>
    <w:rsid w:val="009139A3"/>
    <w:rsid w:val="00915011"/>
    <w:rsid w:val="0092211E"/>
    <w:rsid w:val="00935E9D"/>
    <w:rsid w:val="00961C7D"/>
    <w:rsid w:val="009738F3"/>
    <w:rsid w:val="009826D3"/>
    <w:rsid w:val="00987800"/>
    <w:rsid w:val="00994E37"/>
    <w:rsid w:val="00997662"/>
    <w:rsid w:val="009B1025"/>
    <w:rsid w:val="009C66A8"/>
    <w:rsid w:val="009D30A5"/>
    <w:rsid w:val="009F2199"/>
    <w:rsid w:val="009F5271"/>
    <w:rsid w:val="00A054E0"/>
    <w:rsid w:val="00A10A3B"/>
    <w:rsid w:val="00A2482C"/>
    <w:rsid w:val="00A30BEE"/>
    <w:rsid w:val="00A41E20"/>
    <w:rsid w:val="00A55FDB"/>
    <w:rsid w:val="00A64457"/>
    <w:rsid w:val="00A740C0"/>
    <w:rsid w:val="00A77BE7"/>
    <w:rsid w:val="00A8611B"/>
    <w:rsid w:val="00AD6B1B"/>
    <w:rsid w:val="00AE008A"/>
    <w:rsid w:val="00AE30F0"/>
    <w:rsid w:val="00AF1964"/>
    <w:rsid w:val="00B01D6B"/>
    <w:rsid w:val="00B07EBB"/>
    <w:rsid w:val="00B14A9D"/>
    <w:rsid w:val="00B258E5"/>
    <w:rsid w:val="00B311E9"/>
    <w:rsid w:val="00B46487"/>
    <w:rsid w:val="00B521A0"/>
    <w:rsid w:val="00B52F67"/>
    <w:rsid w:val="00B57F18"/>
    <w:rsid w:val="00B640E5"/>
    <w:rsid w:val="00B74E09"/>
    <w:rsid w:val="00B7512F"/>
    <w:rsid w:val="00B85D5E"/>
    <w:rsid w:val="00B900F6"/>
    <w:rsid w:val="00BA24BE"/>
    <w:rsid w:val="00BA3FF9"/>
    <w:rsid w:val="00BA74B0"/>
    <w:rsid w:val="00BD6255"/>
    <w:rsid w:val="00BD6FF1"/>
    <w:rsid w:val="00BE6BE7"/>
    <w:rsid w:val="00C12D10"/>
    <w:rsid w:val="00C253C7"/>
    <w:rsid w:val="00C3238B"/>
    <w:rsid w:val="00C52E25"/>
    <w:rsid w:val="00C554BC"/>
    <w:rsid w:val="00C73223"/>
    <w:rsid w:val="00C745B1"/>
    <w:rsid w:val="00C86B09"/>
    <w:rsid w:val="00C96D02"/>
    <w:rsid w:val="00CA2898"/>
    <w:rsid w:val="00CA4AAC"/>
    <w:rsid w:val="00CC2B44"/>
    <w:rsid w:val="00CE7CB0"/>
    <w:rsid w:val="00CF199C"/>
    <w:rsid w:val="00D07DEC"/>
    <w:rsid w:val="00D16CF0"/>
    <w:rsid w:val="00D314E4"/>
    <w:rsid w:val="00D35D90"/>
    <w:rsid w:val="00D37F0D"/>
    <w:rsid w:val="00D46A9F"/>
    <w:rsid w:val="00D55E8E"/>
    <w:rsid w:val="00D56780"/>
    <w:rsid w:val="00D64B67"/>
    <w:rsid w:val="00D65245"/>
    <w:rsid w:val="00D844D7"/>
    <w:rsid w:val="00D8501C"/>
    <w:rsid w:val="00DB64EE"/>
    <w:rsid w:val="00DC3BAB"/>
    <w:rsid w:val="00DE257F"/>
    <w:rsid w:val="00DF6A9D"/>
    <w:rsid w:val="00DF76DE"/>
    <w:rsid w:val="00E02FF6"/>
    <w:rsid w:val="00E051AC"/>
    <w:rsid w:val="00E105DD"/>
    <w:rsid w:val="00E14278"/>
    <w:rsid w:val="00E3520F"/>
    <w:rsid w:val="00E47F3E"/>
    <w:rsid w:val="00E81BD3"/>
    <w:rsid w:val="00E8326A"/>
    <w:rsid w:val="00EA3F04"/>
    <w:rsid w:val="00EA466C"/>
    <w:rsid w:val="00EA4FA0"/>
    <w:rsid w:val="00EA697A"/>
    <w:rsid w:val="00EB5846"/>
    <w:rsid w:val="00EB6295"/>
    <w:rsid w:val="00EC2826"/>
    <w:rsid w:val="00ED0930"/>
    <w:rsid w:val="00EE0C2C"/>
    <w:rsid w:val="00EE42B6"/>
    <w:rsid w:val="00EF266A"/>
    <w:rsid w:val="00F03AA4"/>
    <w:rsid w:val="00F23EBA"/>
    <w:rsid w:val="00F26362"/>
    <w:rsid w:val="00F43BA0"/>
    <w:rsid w:val="00F53298"/>
    <w:rsid w:val="00F6296C"/>
    <w:rsid w:val="00F64A09"/>
    <w:rsid w:val="00F7188F"/>
    <w:rsid w:val="00F92597"/>
    <w:rsid w:val="00F958F7"/>
    <w:rsid w:val="00FA4822"/>
    <w:rsid w:val="00FB0056"/>
    <w:rsid w:val="00FE1F4C"/>
    <w:rsid w:val="00FE412A"/>
    <w:rsid w:val="00FE4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ABC1"/>
  <w15:chartTrackingRefBased/>
  <w15:docId w15:val="{A62A489C-60F0-40B5-A0ED-3FA13720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EB1"/>
    <w:pPr>
      <w:spacing w:after="200" w:line="276"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EB1"/>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571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99670DE9A5A4DAE77BDA3FB2D370E" ma:contentTypeVersion="8" ma:contentTypeDescription="Create a new document." ma:contentTypeScope="" ma:versionID="36c207d724c496cf3c7b5fd5d218372b">
  <xsd:schema xmlns:xsd="http://www.w3.org/2001/XMLSchema" xmlns:xs="http://www.w3.org/2001/XMLSchema" xmlns:p="http://schemas.microsoft.com/office/2006/metadata/properties" xmlns:ns2="13ab1d9b-24e5-47fb-a281-a21b5df5e1ee" xmlns:ns3="a2e05f3b-8227-455b-8a98-43cbdc1ffb31" targetNamespace="http://schemas.microsoft.com/office/2006/metadata/properties" ma:root="true" ma:fieldsID="587d934ac76720e0a202b0dc2dbf0bf5" ns2:_="" ns3:_="">
    <xsd:import namespace="13ab1d9b-24e5-47fb-a281-a21b5df5e1ee"/>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b1d9b-24e5-47fb-a281-a21b5df5e1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52B93-B15E-47EB-AF64-0276856C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b1d9b-24e5-47fb-a281-a21b5df5e1ee"/>
    <ds:schemaRef ds:uri="a2e05f3b-8227-455b-8a98-43cbdc1ff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E5B60-E9F1-4E9A-A839-542544D35C3B}">
  <ds:schemaRefs>
    <ds:schemaRef ds:uri="http://schemas.microsoft.com/sharepoint/v3/contenttype/forms"/>
  </ds:schemaRefs>
</ds:datastoreItem>
</file>

<file path=customXml/itemProps3.xml><?xml version="1.0" encoding="utf-8"?>
<ds:datastoreItem xmlns:ds="http://schemas.openxmlformats.org/officeDocument/2006/customXml" ds:itemID="{1319A7C1-C5A8-4037-BE86-925160660982}">
  <ds:schemaRefs>
    <ds:schemaRef ds:uri="a2e05f3b-8227-455b-8a98-43cbdc1ffb31"/>
    <ds:schemaRef ds:uri="http://purl.org/dc/elements/1.1/"/>
    <ds:schemaRef ds:uri="http://purl.org/dc/dcmitype/"/>
    <ds:schemaRef ds:uri="http://schemas.microsoft.com/office/infopath/2007/PartnerControls"/>
    <ds:schemaRef ds:uri="13ab1d9b-24e5-47fb-a281-a21b5df5e1e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Kot</dc:creator>
  <cp:keywords/>
  <dc:description/>
  <cp:lastModifiedBy>Rafael Wiesenberg</cp:lastModifiedBy>
  <cp:revision>2</cp:revision>
  <dcterms:created xsi:type="dcterms:W3CDTF">2018-05-03T14:55:00Z</dcterms:created>
  <dcterms:modified xsi:type="dcterms:W3CDTF">2018-05-03T14:55:00Z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0x010100E5299670DE9A5A4DAE77BDA3FB2D370E</vt:lpwstr>
  </property>
</Properties>
</file>