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D25A" w14:textId="422B3596" w:rsidR="00875639" w:rsidRDefault="00696B96" w:rsidP="00C07D21">
      <w:pPr>
        <w:spacing w:after="0" w:line="240" w:lineRule="auto"/>
      </w:pPr>
      <w:bookmarkStart w:id="0" w:name="_GoBack"/>
      <w:bookmarkEnd w:id="0"/>
      <w:r>
        <w:t xml:space="preserve">September </w:t>
      </w:r>
      <w:r w:rsidR="005D78C5">
        <w:t>12</w:t>
      </w:r>
      <w:r w:rsidR="000C1399" w:rsidRPr="000C1399">
        <w:t>, 201</w:t>
      </w:r>
      <w:r>
        <w:t>8</w:t>
      </w:r>
    </w:p>
    <w:p w14:paraId="3998AD93" w14:textId="77777777" w:rsidR="00EB4F4B" w:rsidRPr="00934239" w:rsidRDefault="00EB4F4B" w:rsidP="00C07D21">
      <w:pPr>
        <w:spacing w:after="0" w:line="240" w:lineRule="auto"/>
      </w:pPr>
    </w:p>
    <w:p w14:paraId="66D7C6FC" w14:textId="3C58EFB3" w:rsidR="000C1399" w:rsidRDefault="00316CB2" w:rsidP="00316CB2">
      <w:pPr>
        <w:spacing w:after="0" w:line="240" w:lineRule="auto"/>
      </w:pPr>
      <w:r>
        <w:t>Technical Director</w:t>
      </w:r>
    </w:p>
    <w:p w14:paraId="547ECC65" w14:textId="77777777" w:rsidR="000C1399" w:rsidRDefault="00316CB2" w:rsidP="00316CB2">
      <w:pPr>
        <w:spacing w:after="0" w:line="240" w:lineRule="auto"/>
      </w:pPr>
      <w:r>
        <w:t>Financial Accounting Standards Board</w:t>
      </w:r>
    </w:p>
    <w:p w14:paraId="3147A2F1" w14:textId="451CFCB9" w:rsidR="00316CB2" w:rsidRDefault="00316CB2" w:rsidP="00316CB2">
      <w:pPr>
        <w:spacing w:after="0" w:line="240" w:lineRule="auto"/>
      </w:pPr>
      <w: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3D78DFC0" w14:textId="3FD5BDE9" w:rsidR="00316CB2" w:rsidRDefault="00125EDD" w:rsidP="00316CB2">
      <w:pPr>
        <w:spacing w:after="0" w:line="240" w:lineRule="auto"/>
      </w:pPr>
      <w:r>
        <w:t>File Reference No. 201</w:t>
      </w:r>
      <w:r w:rsidR="00696B96">
        <w:t>8</w:t>
      </w:r>
      <w:r w:rsidR="00B12115">
        <w:t>-2</w:t>
      </w:r>
      <w:r w:rsidR="00696B96">
        <w:t>6</w:t>
      </w:r>
      <w:r w:rsidR="00B12115">
        <w:t>0</w:t>
      </w:r>
    </w:p>
    <w:p w14:paraId="438EB242" w14:textId="77777777" w:rsidR="008F1D9E" w:rsidRDefault="008F1D9E" w:rsidP="00316CB2">
      <w:pPr>
        <w:spacing w:after="0" w:line="240" w:lineRule="auto"/>
      </w:pPr>
    </w:p>
    <w:p w14:paraId="430B3CDA" w14:textId="656AF4A0" w:rsidR="00671140" w:rsidRPr="00671140" w:rsidRDefault="00316CB2" w:rsidP="00671140">
      <w:pPr>
        <w:spacing w:after="0" w:line="240" w:lineRule="auto"/>
        <w:jc w:val="both"/>
        <w:rPr>
          <w:rFonts w:cstheme="minorBidi"/>
        </w:rPr>
      </w:pPr>
      <w:r w:rsidRPr="00AD259B">
        <w:rPr>
          <w:rFonts w:cstheme="minorBidi"/>
        </w:rPr>
        <w:t>The Accounting Principles Committee of the Illinois CPA Society (“Committee”) appreciate</w:t>
      </w:r>
      <w:r w:rsidR="00A279D3">
        <w:rPr>
          <w:rFonts w:cstheme="minorBidi"/>
        </w:rPr>
        <w:t>s</w:t>
      </w:r>
      <w:r w:rsidRPr="00AD259B">
        <w:rPr>
          <w:rFonts w:cstheme="minorBidi"/>
        </w:rPr>
        <w:t xml:space="preserve"> the opportunity to provide </w:t>
      </w:r>
      <w:r w:rsidR="00A279D3">
        <w:rPr>
          <w:rFonts w:cstheme="minorBidi"/>
        </w:rPr>
        <w:t>its</w:t>
      </w:r>
      <w:r w:rsidRPr="00AD259B">
        <w:rPr>
          <w:rFonts w:cstheme="minorBidi"/>
        </w:rPr>
        <w:t xml:space="preserve"> perspective on the </w:t>
      </w:r>
      <w:r w:rsidR="008F1D9E">
        <w:rPr>
          <w:rFonts w:cstheme="minorBidi"/>
        </w:rPr>
        <w:t>Proposed Accounting Standards Update (“ASU”)</w:t>
      </w:r>
      <w:r w:rsidRPr="00AD259B">
        <w:rPr>
          <w:rFonts w:cstheme="minorBidi"/>
        </w:rPr>
        <w:t xml:space="preserve">, </w:t>
      </w:r>
      <w:r w:rsidR="00696B96">
        <w:rPr>
          <w:rFonts w:cstheme="minorBidi"/>
          <w:i/>
        </w:rPr>
        <w:t>Leases (Topic 842), Narrow-Scope Improvements for Lessors</w:t>
      </w:r>
      <w:r w:rsidRPr="00AD259B">
        <w:rPr>
          <w:rFonts w:cstheme="minorBidi"/>
        </w:rPr>
        <w:t xml:space="preserve">. </w:t>
      </w:r>
      <w:r w:rsidR="00671140"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64408368" w14:textId="52488460" w:rsidR="00316CB2" w:rsidRDefault="00316CB2" w:rsidP="00316CB2">
      <w:pPr>
        <w:pStyle w:val="NoSpacing"/>
        <w:jc w:val="both"/>
      </w:pPr>
    </w:p>
    <w:p w14:paraId="19FE0A4B" w14:textId="0EB3A4D8" w:rsidR="00316CB2" w:rsidRDefault="003A70CB" w:rsidP="00316CB2">
      <w:pPr>
        <w:pStyle w:val="NoSpacing"/>
        <w:jc w:val="both"/>
      </w:pPr>
      <w:r>
        <w:t>We support the amendments proposed by the Board</w:t>
      </w:r>
      <w:r w:rsidR="00A93CE4">
        <w:t xml:space="preserve"> to a lessor’s accounting for sales and similar taxes</w:t>
      </w:r>
      <w:r>
        <w:t xml:space="preserve">, but </w:t>
      </w:r>
      <w:r w:rsidR="00A93CE4">
        <w:t xml:space="preserve">do not agree with the proposed approach for lessee payments of property taxes and insurance, Further, we </w:t>
      </w:r>
      <w:r>
        <w:t xml:space="preserve">recommend that additional clarifications be provided. </w:t>
      </w:r>
      <w:r w:rsidR="00502471">
        <w:t>Our responses to the questions in</w:t>
      </w:r>
      <w:r w:rsidR="00A279D3">
        <w:t xml:space="preserve"> the proposed ASU</w:t>
      </w:r>
      <w:r w:rsidR="00502471">
        <w:t xml:space="preserve"> are included below</w:t>
      </w:r>
      <w:r w:rsidR="00A279D3">
        <w:t>.</w:t>
      </w:r>
    </w:p>
    <w:p w14:paraId="4784D17B" w14:textId="77777777" w:rsidR="005B695E" w:rsidRDefault="005B695E" w:rsidP="00316CB2">
      <w:pPr>
        <w:pStyle w:val="NoSpacing"/>
        <w:jc w:val="both"/>
      </w:pPr>
    </w:p>
    <w:p w14:paraId="15EA8B5D" w14:textId="1EA94687" w:rsidR="00316CB2" w:rsidRDefault="008C6A43" w:rsidP="008C6A43">
      <w:pPr>
        <w:spacing w:after="0"/>
        <w:jc w:val="center"/>
      </w:pPr>
      <w:r>
        <w:t xml:space="preserve">* </w:t>
      </w:r>
      <w:r>
        <w:tab/>
        <w:t>*</w:t>
      </w:r>
      <w:r>
        <w:tab/>
        <w:t>*</w:t>
      </w:r>
      <w:r>
        <w:tab/>
        <w:t>*</w:t>
      </w:r>
      <w:r>
        <w:tab/>
        <w:t>*</w:t>
      </w:r>
      <w:r>
        <w:tab/>
        <w:t>*</w:t>
      </w:r>
    </w:p>
    <w:p w14:paraId="25F28CA4" w14:textId="77777777" w:rsidR="008C6A43" w:rsidRDefault="008C6A43" w:rsidP="008C6A43">
      <w:pPr>
        <w:spacing w:after="0"/>
        <w:jc w:val="center"/>
      </w:pPr>
    </w:p>
    <w:p w14:paraId="61F12C3A" w14:textId="55A8556B" w:rsidR="00316CB2" w:rsidRPr="00F34F90" w:rsidRDefault="00316CB2" w:rsidP="00316CB2">
      <w:pPr>
        <w:spacing w:after="0"/>
        <w:jc w:val="both"/>
      </w:pPr>
      <w:r w:rsidRPr="00F34F90">
        <w:t xml:space="preserve">We appreciate the opportunity to </w:t>
      </w:r>
      <w:r w:rsidR="008C6A43">
        <w:t>provide</w:t>
      </w:r>
      <w:r w:rsidRPr="00F34F90">
        <w:t xml:space="preserve"> our comments</w:t>
      </w:r>
      <w:r w:rsidR="008C6A43">
        <w:t xml:space="preserve"> and observations on the </w:t>
      </w:r>
      <w:r w:rsidR="008F1D9E">
        <w:t>proposed ASU</w:t>
      </w:r>
      <w:r w:rsidR="008C6A43">
        <w:t xml:space="preserve"> and would be pleased to discuss them with the Board members or the FASB staff at your convenience</w:t>
      </w:r>
      <w:r w:rsidRPr="00F34F90">
        <w:t>.</w:t>
      </w:r>
    </w:p>
    <w:p w14:paraId="7C3A84CF" w14:textId="77777777" w:rsidR="00316CB2" w:rsidRPr="00F34F90" w:rsidRDefault="00316CB2" w:rsidP="00316CB2">
      <w:pPr>
        <w:spacing w:after="0"/>
        <w:jc w:val="both"/>
      </w:pPr>
    </w:p>
    <w:p w14:paraId="6C05EDEF" w14:textId="77777777" w:rsidR="00316CB2" w:rsidRPr="00F34F90" w:rsidRDefault="00316CB2" w:rsidP="00316CB2">
      <w:pPr>
        <w:spacing w:after="0"/>
        <w:jc w:val="both"/>
      </w:pPr>
      <w:r w:rsidRPr="00F34F90">
        <w:t>Sincerely,</w:t>
      </w:r>
    </w:p>
    <w:p w14:paraId="3A85EA07" w14:textId="77777777" w:rsidR="00316CB2" w:rsidRPr="00F21F08" w:rsidRDefault="00316CB2" w:rsidP="00316CB2">
      <w:pPr>
        <w:jc w:val="both"/>
      </w:pPr>
    </w:p>
    <w:p w14:paraId="5A164767" w14:textId="6C2B999B" w:rsidR="008A791F" w:rsidRPr="008B1FB7" w:rsidRDefault="003A70CB" w:rsidP="008A791F">
      <w:pPr>
        <w:rPr>
          <w:sz w:val="20"/>
          <w:szCs w:val="20"/>
        </w:rPr>
      </w:pPr>
      <w:r w:rsidRPr="008B1FB7">
        <w:rPr>
          <w:b/>
          <w:bCs/>
          <w:sz w:val="20"/>
          <w:szCs w:val="20"/>
        </w:rPr>
        <w:t>Brian Kot, CPA</w:t>
      </w:r>
      <w:r w:rsidR="008A791F" w:rsidRPr="008B1FB7">
        <w:rPr>
          <w:sz w:val="20"/>
          <w:szCs w:val="20"/>
        </w:rPr>
        <w:br/>
        <w:t>Chair, Accounting Principles Committee</w:t>
      </w:r>
    </w:p>
    <w:p w14:paraId="23BE300F" w14:textId="1694AB0C" w:rsidR="000E65DB" w:rsidRDefault="00F70B6C" w:rsidP="008A791F">
      <w:pPr>
        <w:rPr>
          <w:sz w:val="20"/>
          <w:szCs w:val="20"/>
        </w:rPr>
      </w:pPr>
      <w:r>
        <w:rPr>
          <w:b/>
          <w:bCs/>
          <w:sz w:val="20"/>
          <w:szCs w:val="20"/>
        </w:rPr>
        <w:t>William Keirse</w:t>
      </w:r>
      <w:r w:rsidR="008A791F" w:rsidRPr="008B1FB7">
        <w:rPr>
          <w:b/>
          <w:bCs/>
          <w:sz w:val="20"/>
          <w:szCs w:val="20"/>
        </w:rPr>
        <w:t>, CPA</w:t>
      </w:r>
      <w:r w:rsidR="008A791F" w:rsidRPr="008B1FB7">
        <w:rPr>
          <w:sz w:val="20"/>
          <w:szCs w:val="20"/>
        </w:rPr>
        <w:br/>
        <w:t>Vice Chair, Accounting Principles Committee</w:t>
      </w:r>
    </w:p>
    <w:p w14:paraId="75032B32" w14:textId="77777777" w:rsidR="000E65DB" w:rsidRDefault="000E65DB">
      <w:pPr>
        <w:rPr>
          <w:sz w:val="20"/>
          <w:szCs w:val="20"/>
        </w:rPr>
      </w:pPr>
      <w:r>
        <w:rPr>
          <w:sz w:val="20"/>
          <w:szCs w:val="20"/>
        </w:rPr>
        <w:br w:type="page"/>
      </w:r>
    </w:p>
    <w:p w14:paraId="49481F94" w14:textId="22C704D5" w:rsidR="00696B96" w:rsidRPr="00696B96" w:rsidRDefault="00696B96" w:rsidP="00696B96">
      <w:pPr>
        <w:autoSpaceDE w:val="0"/>
        <w:autoSpaceDN w:val="0"/>
        <w:adjustRightInd w:val="0"/>
        <w:spacing w:after="0" w:line="240" w:lineRule="auto"/>
        <w:rPr>
          <w:color w:val="000000"/>
          <w:u w:val="single"/>
        </w:rPr>
      </w:pPr>
      <w:r w:rsidRPr="00696B96">
        <w:rPr>
          <w:color w:val="000000"/>
          <w:u w:val="single"/>
        </w:rPr>
        <w:lastRenderedPageBreak/>
        <w:t xml:space="preserve">Sales Taxes and Other Similar Taxes Collected from Lessees </w:t>
      </w:r>
    </w:p>
    <w:p w14:paraId="47F087C7" w14:textId="159522B8" w:rsidR="00696B96" w:rsidRPr="00696B96" w:rsidRDefault="00696B96" w:rsidP="00696B96">
      <w:pPr>
        <w:autoSpaceDE w:val="0"/>
        <w:autoSpaceDN w:val="0"/>
        <w:adjustRightInd w:val="0"/>
        <w:spacing w:after="0" w:line="240" w:lineRule="auto"/>
        <w:rPr>
          <w:color w:val="000000"/>
        </w:rPr>
      </w:pPr>
      <w:r w:rsidRPr="00696B96">
        <w:rPr>
          <w:b/>
          <w:bCs/>
          <w:color w:val="000000"/>
        </w:rPr>
        <w:t xml:space="preserve">Question 1: </w:t>
      </w:r>
      <w:r w:rsidRPr="00952FDF">
        <w:rPr>
          <w:i/>
          <w:color w:val="000000"/>
        </w:rPr>
        <w:t>Should a lessor’s accounting for sales taxes and other similar taxes collected from lessees be aligned with Topic 606? If not, please explain why</w:t>
      </w:r>
      <w:r w:rsidR="00952FDF">
        <w:rPr>
          <w:i/>
          <w:color w:val="000000"/>
        </w:rPr>
        <w:t>.</w:t>
      </w:r>
    </w:p>
    <w:p w14:paraId="160177A6" w14:textId="77777777" w:rsidR="00696B96" w:rsidRDefault="00696B96" w:rsidP="00696B96">
      <w:pPr>
        <w:autoSpaceDE w:val="0"/>
        <w:autoSpaceDN w:val="0"/>
        <w:adjustRightInd w:val="0"/>
        <w:spacing w:after="0" w:line="240" w:lineRule="auto"/>
        <w:rPr>
          <w:color w:val="000000"/>
        </w:rPr>
      </w:pPr>
    </w:p>
    <w:p w14:paraId="2083C199" w14:textId="0EF1755A" w:rsidR="00952FDF" w:rsidRPr="00952FDF" w:rsidRDefault="00952FDF" w:rsidP="00952FDF">
      <w:pPr>
        <w:autoSpaceDE w:val="0"/>
        <w:autoSpaceDN w:val="0"/>
        <w:adjustRightInd w:val="0"/>
        <w:spacing w:after="0" w:line="240" w:lineRule="auto"/>
        <w:rPr>
          <w:color w:val="000000"/>
        </w:rPr>
      </w:pPr>
      <w:r w:rsidRPr="00952FDF">
        <w:rPr>
          <w:b/>
          <w:color w:val="000000"/>
        </w:rPr>
        <w:t>Response:</w:t>
      </w:r>
      <w:r>
        <w:rPr>
          <w:b/>
          <w:color w:val="000000"/>
        </w:rPr>
        <w:t xml:space="preserve"> </w:t>
      </w:r>
      <w:r>
        <w:rPr>
          <w:color w:val="000000"/>
        </w:rPr>
        <w:t>We agree that lessor accounting for sales taxes should be aligned with Topic 606.</w:t>
      </w:r>
    </w:p>
    <w:p w14:paraId="3D9F3A13" w14:textId="77777777" w:rsidR="00952FDF" w:rsidRPr="00696B96" w:rsidRDefault="00952FDF" w:rsidP="00696B96">
      <w:pPr>
        <w:autoSpaceDE w:val="0"/>
        <w:autoSpaceDN w:val="0"/>
        <w:adjustRightInd w:val="0"/>
        <w:spacing w:after="0" w:line="240" w:lineRule="auto"/>
        <w:rPr>
          <w:color w:val="000000"/>
        </w:rPr>
      </w:pPr>
    </w:p>
    <w:p w14:paraId="1C557E40" w14:textId="7195AC57" w:rsidR="00696B96" w:rsidRPr="00696B96" w:rsidRDefault="00696B96" w:rsidP="00696B96">
      <w:pPr>
        <w:autoSpaceDE w:val="0"/>
        <w:autoSpaceDN w:val="0"/>
        <w:adjustRightInd w:val="0"/>
        <w:spacing w:after="0" w:line="240" w:lineRule="auto"/>
      </w:pPr>
      <w:r w:rsidRPr="00696B96">
        <w:rPr>
          <w:b/>
          <w:bCs/>
        </w:rPr>
        <w:t xml:space="preserve">Question 2: </w:t>
      </w:r>
      <w:r w:rsidRPr="00952FDF">
        <w:rPr>
          <w:i/>
        </w:rPr>
        <w:t>Is the proposed accounting policy election, as written in this proposed Update, operable? If not, please explain why.</w:t>
      </w:r>
      <w:r w:rsidRPr="00696B96">
        <w:t xml:space="preserve"> </w:t>
      </w:r>
    </w:p>
    <w:p w14:paraId="3A71DE61" w14:textId="77777777" w:rsidR="00696B96" w:rsidRDefault="00696B96" w:rsidP="00696B96">
      <w:pPr>
        <w:autoSpaceDE w:val="0"/>
        <w:autoSpaceDN w:val="0"/>
        <w:adjustRightInd w:val="0"/>
        <w:spacing w:after="0" w:line="240" w:lineRule="auto"/>
        <w:rPr>
          <w:b/>
          <w:bCs/>
        </w:rPr>
      </w:pPr>
    </w:p>
    <w:p w14:paraId="407810E0" w14:textId="1CC7B4C8" w:rsidR="00952FDF" w:rsidRPr="002F234D" w:rsidRDefault="00952FDF" w:rsidP="00952FDF">
      <w:pPr>
        <w:autoSpaceDE w:val="0"/>
        <w:autoSpaceDN w:val="0"/>
        <w:adjustRightInd w:val="0"/>
        <w:spacing w:after="0" w:line="240" w:lineRule="auto"/>
        <w:rPr>
          <w:color w:val="000000"/>
        </w:rPr>
      </w:pPr>
      <w:r w:rsidRPr="00952FDF">
        <w:rPr>
          <w:b/>
          <w:color w:val="000000"/>
        </w:rPr>
        <w:t>Response:</w:t>
      </w:r>
      <w:r w:rsidR="002F234D">
        <w:rPr>
          <w:b/>
          <w:color w:val="000000"/>
        </w:rPr>
        <w:t xml:space="preserve"> </w:t>
      </w:r>
      <w:r w:rsidR="002F234D">
        <w:rPr>
          <w:color w:val="000000"/>
        </w:rPr>
        <w:t>In general, we believe the proposed policy election is operable. However, we believe the reference to a “specific lease revenue-producing transaction” is confusing as written. It is unclear whether this refers to taxes on the periodic rental payments made by a lessee to a lessor or to taxes that may be paid upon the delivery of the leased asset</w:t>
      </w:r>
      <w:r w:rsidR="007E743F">
        <w:rPr>
          <w:color w:val="000000"/>
        </w:rPr>
        <w:t xml:space="preserve"> (as may be the case in a common automobile lease, for example)</w:t>
      </w:r>
      <w:r w:rsidR="002F234D">
        <w:rPr>
          <w:color w:val="000000"/>
        </w:rPr>
        <w:t xml:space="preserve">. </w:t>
      </w:r>
      <w:r w:rsidR="002B52C0">
        <w:rPr>
          <w:color w:val="000000"/>
        </w:rPr>
        <w:t xml:space="preserve">We recommend the Board clarify the meaning of this </w:t>
      </w:r>
      <w:r w:rsidR="00A93CE4">
        <w:rPr>
          <w:color w:val="000000"/>
        </w:rPr>
        <w:t>phrase</w:t>
      </w:r>
      <w:r w:rsidR="002B52C0">
        <w:rPr>
          <w:color w:val="000000"/>
        </w:rPr>
        <w:t>.</w:t>
      </w:r>
      <w:r w:rsidR="00A93CE4">
        <w:rPr>
          <w:color w:val="000000"/>
        </w:rPr>
        <w:t xml:space="preserve"> We believe the Board intended the guidance to apply to taxes collected from the lessee on each rental, in addition to taxes collected at the commencement of the lease but believe the phrase should be clarified.</w:t>
      </w:r>
    </w:p>
    <w:p w14:paraId="606FEA30" w14:textId="77777777" w:rsidR="00952FDF" w:rsidRDefault="00952FDF" w:rsidP="00696B96">
      <w:pPr>
        <w:autoSpaceDE w:val="0"/>
        <w:autoSpaceDN w:val="0"/>
        <w:adjustRightInd w:val="0"/>
        <w:spacing w:after="0" w:line="240" w:lineRule="auto"/>
        <w:rPr>
          <w:b/>
          <w:bCs/>
        </w:rPr>
      </w:pPr>
    </w:p>
    <w:p w14:paraId="16D92AE1" w14:textId="77777777" w:rsidR="00696B96" w:rsidRPr="00696B96" w:rsidRDefault="00696B96" w:rsidP="00696B96">
      <w:pPr>
        <w:autoSpaceDE w:val="0"/>
        <w:autoSpaceDN w:val="0"/>
        <w:adjustRightInd w:val="0"/>
        <w:spacing w:after="0" w:line="240" w:lineRule="auto"/>
      </w:pPr>
      <w:r w:rsidRPr="00696B96">
        <w:rPr>
          <w:b/>
          <w:bCs/>
        </w:rPr>
        <w:t xml:space="preserve">Question 3: </w:t>
      </w:r>
      <w:r w:rsidRPr="00952FDF">
        <w:rPr>
          <w:i/>
        </w:rPr>
        <w:t>Would the proposed accounting policy election result in a reduction of decision-useful information to users of a lessor’s financial statements? If so, please explain why.</w:t>
      </w:r>
      <w:r w:rsidRPr="00696B96">
        <w:t xml:space="preserve"> </w:t>
      </w:r>
    </w:p>
    <w:p w14:paraId="3D6D0568" w14:textId="77777777" w:rsidR="00696B96" w:rsidRDefault="00696B96" w:rsidP="00696B96">
      <w:pPr>
        <w:autoSpaceDE w:val="0"/>
        <w:autoSpaceDN w:val="0"/>
        <w:adjustRightInd w:val="0"/>
        <w:spacing w:after="0" w:line="240" w:lineRule="auto"/>
        <w:rPr>
          <w:b/>
          <w:bCs/>
        </w:rPr>
      </w:pPr>
    </w:p>
    <w:p w14:paraId="0E113F60" w14:textId="66B44DF2" w:rsidR="00952FDF" w:rsidRPr="007E743F" w:rsidRDefault="00952FDF" w:rsidP="00952FDF">
      <w:pPr>
        <w:autoSpaceDE w:val="0"/>
        <w:autoSpaceDN w:val="0"/>
        <w:adjustRightInd w:val="0"/>
        <w:spacing w:after="0" w:line="240" w:lineRule="auto"/>
        <w:rPr>
          <w:color w:val="000000"/>
        </w:rPr>
      </w:pPr>
      <w:r w:rsidRPr="00952FDF">
        <w:rPr>
          <w:b/>
          <w:color w:val="000000"/>
        </w:rPr>
        <w:t>Response:</w:t>
      </w:r>
      <w:r w:rsidR="007E743F">
        <w:rPr>
          <w:b/>
          <w:color w:val="000000"/>
        </w:rPr>
        <w:t xml:space="preserve"> </w:t>
      </w:r>
      <w:r w:rsidR="007E743F">
        <w:rPr>
          <w:color w:val="000000"/>
        </w:rPr>
        <w:t>We do not believe such a policy election would result in a loss of decision useful information.</w:t>
      </w:r>
    </w:p>
    <w:p w14:paraId="592C2842" w14:textId="77777777" w:rsidR="00952FDF" w:rsidRDefault="00952FDF" w:rsidP="00696B96">
      <w:pPr>
        <w:autoSpaceDE w:val="0"/>
        <w:autoSpaceDN w:val="0"/>
        <w:adjustRightInd w:val="0"/>
        <w:spacing w:after="0" w:line="240" w:lineRule="auto"/>
        <w:rPr>
          <w:b/>
          <w:bCs/>
        </w:rPr>
      </w:pPr>
    </w:p>
    <w:p w14:paraId="244EB41C" w14:textId="77777777" w:rsidR="00696B96" w:rsidRPr="00696B96" w:rsidRDefault="00696B96" w:rsidP="00696B96">
      <w:pPr>
        <w:autoSpaceDE w:val="0"/>
        <w:autoSpaceDN w:val="0"/>
        <w:adjustRightInd w:val="0"/>
        <w:spacing w:after="0" w:line="240" w:lineRule="auto"/>
      </w:pPr>
      <w:r w:rsidRPr="00696B96">
        <w:rPr>
          <w:b/>
          <w:bCs/>
        </w:rPr>
        <w:t xml:space="preserve">Question 4: </w:t>
      </w:r>
      <w:r w:rsidRPr="00952FDF">
        <w:rPr>
          <w:i/>
        </w:rPr>
        <w:t>Should a lessor’s accounting policy election for sales taxes and other similar taxes collected from lessees be applied to new lease contracts only or to all existing and new lease contracts? Please explain your rationale.</w:t>
      </w:r>
      <w:r w:rsidRPr="00696B96">
        <w:t xml:space="preserve"> </w:t>
      </w:r>
    </w:p>
    <w:p w14:paraId="1A753C47" w14:textId="77777777" w:rsidR="00696B96" w:rsidRDefault="00696B96" w:rsidP="00696B96">
      <w:pPr>
        <w:autoSpaceDE w:val="0"/>
        <w:autoSpaceDN w:val="0"/>
        <w:adjustRightInd w:val="0"/>
        <w:spacing w:after="0" w:line="240" w:lineRule="auto"/>
      </w:pPr>
    </w:p>
    <w:p w14:paraId="42371860" w14:textId="7AEDE26E" w:rsidR="00952FDF" w:rsidRPr="001E1823" w:rsidRDefault="00952FDF" w:rsidP="00952FDF">
      <w:pPr>
        <w:autoSpaceDE w:val="0"/>
        <w:autoSpaceDN w:val="0"/>
        <w:adjustRightInd w:val="0"/>
        <w:spacing w:after="0" w:line="240" w:lineRule="auto"/>
        <w:rPr>
          <w:color w:val="000000"/>
        </w:rPr>
      </w:pPr>
      <w:r w:rsidRPr="00952FDF">
        <w:rPr>
          <w:b/>
          <w:color w:val="000000"/>
        </w:rPr>
        <w:t>Response:</w:t>
      </w:r>
      <w:r w:rsidR="001E7CBF">
        <w:rPr>
          <w:b/>
          <w:color w:val="000000"/>
        </w:rPr>
        <w:t xml:space="preserve"> </w:t>
      </w:r>
      <w:r w:rsidR="001E1823">
        <w:rPr>
          <w:color w:val="000000"/>
        </w:rPr>
        <w:t xml:space="preserve">We believe the policy election should be applied consistently to all existing and new lease contracts as of the effective date of Topic 842. </w:t>
      </w:r>
    </w:p>
    <w:p w14:paraId="46B8FFB8" w14:textId="77777777" w:rsidR="00952FDF" w:rsidRDefault="00952FDF" w:rsidP="00696B96">
      <w:pPr>
        <w:autoSpaceDE w:val="0"/>
        <w:autoSpaceDN w:val="0"/>
        <w:adjustRightInd w:val="0"/>
        <w:spacing w:after="0" w:line="240" w:lineRule="auto"/>
      </w:pPr>
    </w:p>
    <w:p w14:paraId="7A605CC0" w14:textId="77777777" w:rsidR="00696B96" w:rsidRPr="00696B96" w:rsidRDefault="00696B96" w:rsidP="00696B96">
      <w:pPr>
        <w:autoSpaceDE w:val="0"/>
        <w:autoSpaceDN w:val="0"/>
        <w:adjustRightInd w:val="0"/>
        <w:spacing w:after="0" w:line="240" w:lineRule="auto"/>
        <w:rPr>
          <w:u w:val="single"/>
        </w:rPr>
      </w:pPr>
      <w:r w:rsidRPr="00696B96">
        <w:rPr>
          <w:u w:val="single"/>
        </w:rPr>
        <w:t xml:space="preserve">Certain Lessor Costs Paid Directly by Lessees </w:t>
      </w:r>
    </w:p>
    <w:p w14:paraId="5DD335FF" w14:textId="77777777" w:rsidR="00696B96" w:rsidRPr="00696B96" w:rsidRDefault="00696B96" w:rsidP="00696B96">
      <w:pPr>
        <w:autoSpaceDE w:val="0"/>
        <w:autoSpaceDN w:val="0"/>
        <w:adjustRightInd w:val="0"/>
        <w:spacing w:after="0" w:line="240" w:lineRule="auto"/>
      </w:pPr>
      <w:r w:rsidRPr="00696B96">
        <w:rPr>
          <w:b/>
          <w:bCs/>
        </w:rPr>
        <w:t xml:space="preserve">Question 5: </w:t>
      </w:r>
      <w:r w:rsidRPr="00952FDF">
        <w:rPr>
          <w:i/>
        </w:rPr>
        <w:t>Should a lessor be required to exclude certain lessor costs paid directly by lessees to third parties on behalf of a lessor as variable payments when the uncertainty in the amount is not expected to ultimately be resolved? If not, please explain why.</w:t>
      </w:r>
      <w:r w:rsidRPr="00696B96">
        <w:t xml:space="preserve"> </w:t>
      </w:r>
    </w:p>
    <w:p w14:paraId="1E962CF0" w14:textId="77777777" w:rsidR="00696B96" w:rsidRDefault="00696B96" w:rsidP="00696B96">
      <w:pPr>
        <w:autoSpaceDE w:val="0"/>
        <w:autoSpaceDN w:val="0"/>
        <w:adjustRightInd w:val="0"/>
        <w:spacing w:after="0" w:line="240" w:lineRule="auto"/>
        <w:rPr>
          <w:b/>
          <w:bCs/>
        </w:rPr>
      </w:pPr>
    </w:p>
    <w:p w14:paraId="101D0B99" w14:textId="6126A3DA" w:rsidR="00952FDF" w:rsidRDefault="00952FDF" w:rsidP="00952FDF">
      <w:pPr>
        <w:autoSpaceDE w:val="0"/>
        <w:autoSpaceDN w:val="0"/>
        <w:adjustRightInd w:val="0"/>
        <w:spacing w:after="0" w:line="240" w:lineRule="auto"/>
        <w:rPr>
          <w:color w:val="000000"/>
        </w:rPr>
      </w:pPr>
      <w:r w:rsidRPr="00952FDF">
        <w:rPr>
          <w:b/>
          <w:color w:val="000000"/>
        </w:rPr>
        <w:t>Response:</w:t>
      </w:r>
      <w:r w:rsidR="001E1823">
        <w:rPr>
          <w:b/>
          <w:color w:val="000000"/>
        </w:rPr>
        <w:t xml:space="preserve"> </w:t>
      </w:r>
      <w:r w:rsidR="00A93CE4">
        <w:rPr>
          <w:color w:val="000000"/>
        </w:rPr>
        <w:t xml:space="preserve">We believe the Board should provide lessors with an accounting policy </w:t>
      </w:r>
      <w:r w:rsidR="00070727">
        <w:rPr>
          <w:color w:val="000000"/>
        </w:rPr>
        <w:t>election</w:t>
      </w:r>
      <w:r w:rsidR="00462E82">
        <w:rPr>
          <w:color w:val="000000"/>
        </w:rPr>
        <w:t xml:space="preserve"> </w:t>
      </w:r>
      <w:r w:rsidR="00A93CE4">
        <w:rPr>
          <w:color w:val="000000"/>
        </w:rPr>
        <w:t xml:space="preserve">to account for costs paid directly by lessees as a reduction </w:t>
      </w:r>
      <w:r w:rsidR="003A2393">
        <w:rPr>
          <w:color w:val="000000"/>
        </w:rPr>
        <w:t>of the related cost. W</w:t>
      </w:r>
      <w:r w:rsidR="004379BF">
        <w:rPr>
          <w:color w:val="000000"/>
        </w:rPr>
        <w:t xml:space="preserve">e are concerned that the Board’s proposed use of the term “readily determinable” </w:t>
      </w:r>
      <w:r w:rsidR="00303160">
        <w:rPr>
          <w:color w:val="000000"/>
        </w:rPr>
        <w:t xml:space="preserve">will raise operability challenges with respect to certain costs that may be determinable by lessors only with some cost and effort. For example, in many jurisdictions, property taxes are a matter of public record, and thus would appear to be “readily determinable” to a lessor that leases property on a </w:t>
      </w:r>
      <w:r w:rsidR="003A2393">
        <w:rPr>
          <w:color w:val="000000"/>
        </w:rPr>
        <w:t>net</w:t>
      </w:r>
      <w:r w:rsidR="00303160">
        <w:rPr>
          <w:color w:val="000000"/>
        </w:rPr>
        <w:t xml:space="preserve"> basis (that is, a lease in which the lessee pays the taxes). However, we believe it may be difficult for lessors to obtain this information for great numbers of properties across</w:t>
      </w:r>
      <w:r w:rsidR="00774EE9">
        <w:rPr>
          <w:color w:val="000000"/>
        </w:rPr>
        <w:t xml:space="preserve"> many</w:t>
      </w:r>
      <w:r w:rsidR="00303160">
        <w:rPr>
          <w:color w:val="000000"/>
        </w:rPr>
        <w:t xml:space="preserve"> jurisdiction</w:t>
      </w:r>
      <w:r w:rsidR="00774EE9">
        <w:rPr>
          <w:color w:val="000000"/>
        </w:rPr>
        <w:t>s</w:t>
      </w:r>
      <w:r w:rsidR="003A2393">
        <w:rPr>
          <w:color w:val="000000"/>
        </w:rPr>
        <w:t xml:space="preserve"> because that information is only accessible by visiting the assessor’s office</w:t>
      </w:r>
      <w:r w:rsidR="00303160">
        <w:rPr>
          <w:color w:val="000000"/>
        </w:rPr>
        <w:t xml:space="preserve">. </w:t>
      </w:r>
      <w:r w:rsidR="003A2393">
        <w:rPr>
          <w:color w:val="000000"/>
        </w:rPr>
        <w:t xml:space="preserve">We believe the Board should provide a practical expedient to allow a lessor to elect to present lessee direct payments of property taxes as a reduction of the cost. We do not believe providing such a practical expedient will result in a reduction of decision-useful information </w:t>
      </w:r>
      <w:r w:rsidR="00990712">
        <w:rPr>
          <w:color w:val="000000"/>
        </w:rPr>
        <w:t>to</w:t>
      </w:r>
      <w:r w:rsidR="003A2393">
        <w:rPr>
          <w:color w:val="000000"/>
        </w:rPr>
        <w:t xml:space="preserve"> users </w:t>
      </w:r>
      <w:r w:rsidR="00990712">
        <w:rPr>
          <w:color w:val="000000"/>
        </w:rPr>
        <w:t xml:space="preserve">of a lessor’s financial statements because the </w:t>
      </w:r>
      <w:r w:rsidR="00744B59">
        <w:rPr>
          <w:color w:val="000000"/>
        </w:rPr>
        <w:t>lessee’s payment is equal to the lessor’s property tax payment (in other words, there is no margin on property taxes in a net lease) and has no impact on the lessor’s cash flows. Further, property tax payments by lessees is not a significant amount in comparison to rentals paid by lessees.</w:t>
      </w:r>
    </w:p>
    <w:p w14:paraId="59959FD9" w14:textId="77777777" w:rsidR="00774EE9" w:rsidRDefault="00774EE9" w:rsidP="00952FDF">
      <w:pPr>
        <w:autoSpaceDE w:val="0"/>
        <w:autoSpaceDN w:val="0"/>
        <w:adjustRightInd w:val="0"/>
        <w:spacing w:after="0" w:line="240" w:lineRule="auto"/>
        <w:rPr>
          <w:color w:val="000000"/>
        </w:rPr>
      </w:pPr>
    </w:p>
    <w:p w14:paraId="6EBD27D7" w14:textId="21FD8B3A" w:rsidR="002D68C1" w:rsidRDefault="004C1444" w:rsidP="00696B96">
      <w:pPr>
        <w:autoSpaceDE w:val="0"/>
        <w:autoSpaceDN w:val="0"/>
        <w:adjustRightInd w:val="0"/>
        <w:spacing w:after="0" w:line="240" w:lineRule="auto"/>
        <w:rPr>
          <w:color w:val="000000"/>
        </w:rPr>
      </w:pPr>
      <w:r>
        <w:rPr>
          <w:color w:val="000000"/>
        </w:rPr>
        <w:t>In addition</w:t>
      </w:r>
      <w:r w:rsidR="000914BA">
        <w:rPr>
          <w:color w:val="000000"/>
        </w:rPr>
        <w:t xml:space="preserve">, we believe the approach to determining whether amounts paid for insurance by the lessee are reimbursements of the lessor’s costs should be based on whether the lessor is a principal to the insurance </w:t>
      </w:r>
      <w:r w:rsidR="000914BA">
        <w:rPr>
          <w:color w:val="000000"/>
        </w:rPr>
        <w:lastRenderedPageBreak/>
        <w:t xml:space="preserve">arrangement. We believe that would be </w:t>
      </w:r>
      <w:r w:rsidR="000D3D94">
        <w:rPr>
          <w:color w:val="000000"/>
        </w:rPr>
        <w:t>a more consistent approach with the discussion in paragraph BC158 of the Basis for Conclusions to ASU 2016-02</w:t>
      </w:r>
      <w:r>
        <w:rPr>
          <w:color w:val="000000"/>
        </w:rPr>
        <w:t xml:space="preserve"> and </w:t>
      </w:r>
      <w:r w:rsidR="000D3D94">
        <w:rPr>
          <w:color w:val="000000"/>
        </w:rPr>
        <w:t xml:space="preserve">will be easier to apply in practice than the Board’s proposed approach. </w:t>
      </w:r>
    </w:p>
    <w:p w14:paraId="5F811DC3" w14:textId="77777777" w:rsidR="002D68C1" w:rsidRDefault="002D68C1" w:rsidP="00696B96">
      <w:pPr>
        <w:autoSpaceDE w:val="0"/>
        <w:autoSpaceDN w:val="0"/>
        <w:adjustRightInd w:val="0"/>
        <w:spacing w:after="0" w:line="240" w:lineRule="auto"/>
        <w:rPr>
          <w:b/>
          <w:bCs/>
        </w:rPr>
      </w:pPr>
    </w:p>
    <w:p w14:paraId="0ACB6868" w14:textId="77777777" w:rsidR="00696B96" w:rsidRPr="00696B96" w:rsidRDefault="00696B96" w:rsidP="00696B96">
      <w:pPr>
        <w:autoSpaceDE w:val="0"/>
        <w:autoSpaceDN w:val="0"/>
        <w:adjustRightInd w:val="0"/>
        <w:spacing w:after="0" w:line="240" w:lineRule="auto"/>
      </w:pPr>
      <w:r w:rsidRPr="00696B96">
        <w:rPr>
          <w:b/>
          <w:bCs/>
        </w:rPr>
        <w:t xml:space="preserve">Question 6: </w:t>
      </w:r>
      <w:r w:rsidRPr="00952FDF">
        <w:rPr>
          <w:i/>
        </w:rPr>
        <w:t>Are the proposed amendments for the accounting for certain lessor costs operable? If not, please explain why.</w:t>
      </w:r>
      <w:r w:rsidRPr="00696B96">
        <w:t xml:space="preserve"> </w:t>
      </w:r>
    </w:p>
    <w:p w14:paraId="0246AF0F" w14:textId="77777777" w:rsidR="00696B96" w:rsidRDefault="00696B96" w:rsidP="00696B96">
      <w:pPr>
        <w:autoSpaceDE w:val="0"/>
        <w:autoSpaceDN w:val="0"/>
        <w:adjustRightInd w:val="0"/>
        <w:spacing w:after="0" w:line="240" w:lineRule="auto"/>
        <w:rPr>
          <w:b/>
          <w:bCs/>
        </w:rPr>
      </w:pPr>
    </w:p>
    <w:p w14:paraId="0CD91C60" w14:textId="21522D75" w:rsidR="00952FDF" w:rsidRPr="0039689F" w:rsidRDefault="00952FDF" w:rsidP="00952FDF">
      <w:pPr>
        <w:autoSpaceDE w:val="0"/>
        <w:autoSpaceDN w:val="0"/>
        <w:adjustRightInd w:val="0"/>
        <w:spacing w:after="0" w:line="240" w:lineRule="auto"/>
        <w:rPr>
          <w:color w:val="000000"/>
        </w:rPr>
      </w:pPr>
      <w:r w:rsidRPr="00952FDF">
        <w:rPr>
          <w:b/>
          <w:color w:val="000000"/>
        </w:rPr>
        <w:t>Response:</w:t>
      </w:r>
      <w:r w:rsidR="00A2770F">
        <w:rPr>
          <w:b/>
          <w:color w:val="000000"/>
        </w:rPr>
        <w:t xml:space="preserve"> </w:t>
      </w:r>
      <w:r w:rsidR="000D3D94">
        <w:rPr>
          <w:color w:val="000000"/>
        </w:rPr>
        <w:t xml:space="preserve">We do not believe the Board’s proposed approach is operable. We believe preparers and auditors will expend considerable effort attempting to determine whether the amount paid by the lessee is “readily determinable” and how much effort the lessor is required to expend in order to determine whether the amount paid is “readily determinable”. As noted above, we do not believe the effort that preparers will expend to determine the amount paid by the lessee (or to determine that such amount is not reasonably determinable) will provide a substantial improvement in financial reporting. </w:t>
      </w:r>
    </w:p>
    <w:p w14:paraId="4552998A" w14:textId="77777777" w:rsidR="00952FDF" w:rsidRDefault="00952FDF" w:rsidP="00696B96">
      <w:pPr>
        <w:autoSpaceDE w:val="0"/>
        <w:autoSpaceDN w:val="0"/>
        <w:adjustRightInd w:val="0"/>
        <w:spacing w:after="0" w:line="240" w:lineRule="auto"/>
        <w:rPr>
          <w:b/>
          <w:bCs/>
        </w:rPr>
      </w:pPr>
    </w:p>
    <w:p w14:paraId="38711F6B" w14:textId="77777777" w:rsidR="00696B96" w:rsidRPr="00696B96" w:rsidRDefault="00696B96" w:rsidP="00696B96">
      <w:pPr>
        <w:autoSpaceDE w:val="0"/>
        <w:autoSpaceDN w:val="0"/>
        <w:adjustRightInd w:val="0"/>
        <w:spacing w:after="0" w:line="240" w:lineRule="auto"/>
      </w:pPr>
      <w:r w:rsidRPr="00696B96">
        <w:rPr>
          <w:b/>
          <w:bCs/>
        </w:rPr>
        <w:t xml:space="preserve">Question 7: </w:t>
      </w:r>
      <w:r w:rsidRPr="00952FDF">
        <w:rPr>
          <w:i/>
        </w:rPr>
        <w:t>Would the proposed requirement for a lessor to not report certain lessor costs paid directly by a lessee to a third party on behalf of the lessor result in a reduction of decision-useful information to users of a lessor’s financial statements? If so, please explain why.</w:t>
      </w:r>
      <w:r w:rsidRPr="00696B96">
        <w:t xml:space="preserve"> </w:t>
      </w:r>
    </w:p>
    <w:p w14:paraId="6CB68AF1" w14:textId="77777777" w:rsidR="00696B96" w:rsidRDefault="00696B96" w:rsidP="00696B96">
      <w:pPr>
        <w:autoSpaceDE w:val="0"/>
        <w:autoSpaceDN w:val="0"/>
        <w:adjustRightInd w:val="0"/>
        <w:spacing w:after="0" w:line="240" w:lineRule="auto"/>
        <w:rPr>
          <w:b/>
          <w:bCs/>
        </w:rPr>
      </w:pPr>
    </w:p>
    <w:p w14:paraId="3F43D241" w14:textId="1B2C68CC" w:rsidR="00952FDF" w:rsidRPr="00952FDF" w:rsidRDefault="00952FDF" w:rsidP="00952FDF">
      <w:pPr>
        <w:autoSpaceDE w:val="0"/>
        <w:autoSpaceDN w:val="0"/>
        <w:adjustRightInd w:val="0"/>
        <w:spacing w:after="0" w:line="240" w:lineRule="auto"/>
        <w:rPr>
          <w:b/>
          <w:color w:val="000000"/>
        </w:rPr>
      </w:pPr>
      <w:r w:rsidRPr="00952FDF">
        <w:rPr>
          <w:b/>
          <w:color w:val="000000"/>
        </w:rPr>
        <w:t>Response:</w:t>
      </w:r>
      <w:r w:rsidR="0039689F">
        <w:rPr>
          <w:b/>
          <w:color w:val="000000"/>
        </w:rPr>
        <w:t xml:space="preserve"> </w:t>
      </w:r>
      <w:r w:rsidR="00337B8E">
        <w:rPr>
          <w:color w:val="000000"/>
        </w:rPr>
        <w:t xml:space="preserve">We do not believe the proposed </w:t>
      </w:r>
      <w:r w:rsidR="000D3D94">
        <w:rPr>
          <w:color w:val="000000"/>
        </w:rPr>
        <w:t xml:space="preserve">amendment (or our preferred approach) </w:t>
      </w:r>
      <w:r w:rsidR="00337B8E">
        <w:rPr>
          <w:color w:val="000000"/>
        </w:rPr>
        <w:t>would result in a loss of decision useful information.</w:t>
      </w:r>
    </w:p>
    <w:p w14:paraId="00224F2B" w14:textId="77777777" w:rsidR="00952FDF" w:rsidRDefault="00952FDF" w:rsidP="00696B96">
      <w:pPr>
        <w:autoSpaceDE w:val="0"/>
        <w:autoSpaceDN w:val="0"/>
        <w:adjustRightInd w:val="0"/>
        <w:spacing w:after="0" w:line="240" w:lineRule="auto"/>
        <w:rPr>
          <w:b/>
          <w:bCs/>
        </w:rPr>
      </w:pPr>
    </w:p>
    <w:p w14:paraId="66CF2A34" w14:textId="77777777" w:rsidR="00696B96" w:rsidRPr="00696B96" w:rsidRDefault="00696B96" w:rsidP="00696B96">
      <w:pPr>
        <w:autoSpaceDE w:val="0"/>
        <w:autoSpaceDN w:val="0"/>
        <w:adjustRightInd w:val="0"/>
        <w:spacing w:after="0" w:line="240" w:lineRule="auto"/>
      </w:pPr>
      <w:r w:rsidRPr="00696B96">
        <w:rPr>
          <w:b/>
          <w:bCs/>
        </w:rPr>
        <w:t xml:space="preserve">Question 8: </w:t>
      </w:r>
      <w:r w:rsidRPr="00952FDF">
        <w:rPr>
          <w:i/>
        </w:rPr>
        <w:t>Should the proposed amendment in paragraph 842-10-15-40A to exclude certain lessor costs paid directly by lessees on behalf of a lessor as variable payments be applied to new lease contracts only or to all existing and new lease contracts? Please explain your rationale.</w:t>
      </w:r>
      <w:r w:rsidRPr="00696B96">
        <w:t xml:space="preserve"> </w:t>
      </w:r>
    </w:p>
    <w:p w14:paraId="27E5D2D8" w14:textId="77777777" w:rsidR="00952FDF" w:rsidRDefault="00952FDF" w:rsidP="00696B96">
      <w:pPr>
        <w:autoSpaceDE w:val="0"/>
        <w:autoSpaceDN w:val="0"/>
        <w:adjustRightInd w:val="0"/>
        <w:spacing w:after="0" w:line="240" w:lineRule="auto"/>
      </w:pPr>
    </w:p>
    <w:p w14:paraId="5CD67371" w14:textId="1E7DD723" w:rsidR="00952FDF" w:rsidRPr="00952FDF" w:rsidRDefault="00952FDF" w:rsidP="00952FDF">
      <w:pPr>
        <w:autoSpaceDE w:val="0"/>
        <w:autoSpaceDN w:val="0"/>
        <w:adjustRightInd w:val="0"/>
        <w:spacing w:after="0" w:line="240" w:lineRule="auto"/>
        <w:rPr>
          <w:b/>
          <w:color w:val="000000"/>
        </w:rPr>
      </w:pPr>
      <w:r w:rsidRPr="00952FDF">
        <w:rPr>
          <w:b/>
          <w:color w:val="000000"/>
        </w:rPr>
        <w:t>Response:</w:t>
      </w:r>
      <w:r w:rsidR="00337B8E">
        <w:rPr>
          <w:b/>
          <w:color w:val="000000"/>
        </w:rPr>
        <w:t xml:space="preserve"> </w:t>
      </w:r>
      <w:r w:rsidR="00337B8E">
        <w:rPr>
          <w:color w:val="000000"/>
        </w:rPr>
        <w:t>We believe the proposed amendment should be applied consistently to all existing and new lease contracts as of the effective date of Topic 842.</w:t>
      </w:r>
    </w:p>
    <w:p w14:paraId="36D6786B" w14:textId="77777777" w:rsidR="00952FDF" w:rsidRDefault="00952FDF" w:rsidP="00696B96">
      <w:pPr>
        <w:autoSpaceDE w:val="0"/>
        <w:autoSpaceDN w:val="0"/>
        <w:adjustRightInd w:val="0"/>
        <w:spacing w:after="0" w:line="240" w:lineRule="auto"/>
      </w:pPr>
    </w:p>
    <w:p w14:paraId="34930108" w14:textId="77777777" w:rsidR="00696B96" w:rsidRPr="00952FDF" w:rsidRDefault="00696B96" w:rsidP="00696B96">
      <w:pPr>
        <w:autoSpaceDE w:val="0"/>
        <w:autoSpaceDN w:val="0"/>
        <w:adjustRightInd w:val="0"/>
        <w:spacing w:after="0" w:line="240" w:lineRule="auto"/>
        <w:rPr>
          <w:u w:val="single"/>
        </w:rPr>
      </w:pPr>
      <w:r w:rsidRPr="00952FDF">
        <w:rPr>
          <w:u w:val="single"/>
        </w:rPr>
        <w:t xml:space="preserve">Recognition of Variable Payments for Contracts with Lease and Nonlease Components </w:t>
      </w:r>
    </w:p>
    <w:p w14:paraId="069B5837" w14:textId="77777777" w:rsidR="00696B96" w:rsidRPr="00696B96" w:rsidRDefault="00696B96" w:rsidP="00696B96">
      <w:pPr>
        <w:autoSpaceDE w:val="0"/>
        <w:autoSpaceDN w:val="0"/>
        <w:adjustRightInd w:val="0"/>
        <w:spacing w:after="0" w:line="240" w:lineRule="auto"/>
      </w:pPr>
      <w:r w:rsidRPr="00696B96">
        <w:rPr>
          <w:b/>
          <w:bCs/>
        </w:rPr>
        <w:t xml:space="preserve">Question 9: </w:t>
      </w:r>
      <w:r w:rsidRPr="00952FDF">
        <w:rPr>
          <w:i/>
        </w:rPr>
        <w:t>Would the proposed amendments clarify the application of paragraph 842-10-15-40? If not, please explain why.</w:t>
      </w:r>
      <w:r w:rsidRPr="00696B96">
        <w:t xml:space="preserve"> </w:t>
      </w:r>
    </w:p>
    <w:p w14:paraId="5B447AA2" w14:textId="77777777" w:rsidR="00696B96" w:rsidRDefault="00696B96" w:rsidP="00696B96">
      <w:pPr>
        <w:autoSpaceDE w:val="0"/>
        <w:autoSpaceDN w:val="0"/>
        <w:adjustRightInd w:val="0"/>
        <w:spacing w:after="0" w:line="240" w:lineRule="auto"/>
        <w:rPr>
          <w:b/>
          <w:bCs/>
        </w:rPr>
      </w:pPr>
    </w:p>
    <w:p w14:paraId="65EF2460" w14:textId="1D2A759D" w:rsidR="00952FDF" w:rsidRPr="00B2606C" w:rsidRDefault="00952FDF" w:rsidP="00952FDF">
      <w:pPr>
        <w:autoSpaceDE w:val="0"/>
        <w:autoSpaceDN w:val="0"/>
        <w:adjustRightInd w:val="0"/>
        <w:spacing w:after="0" w:line="240" w:lineRule="auto"/>
        <w:rPr>
          <w:color w:val="000000"/>
        </w:rPr>
      </w:pPr>
      <w:r w:rsidRPr="00952FDF">
        <w:rPr>
          <w:b/>
          <w:color w:val="000000"/>
        </w:rPr>
        <w:t>Response:</w:t>
      </w:r>
      <w:r w:rsidR="00B2606C">
        <w:rPr>
          <w:b/>
          <w:color w:val="000000"/>
        </w:rPr>
        <w:t xml:space="preserve"> </w:t>
      </w:r>
      <w:r w:rsidR="00B2606C">
        <w:rPr>
          <w:color w:val="000000"/>
        </w:rPr>
        <w:t xml:space="preserve">We believe the proposed amendments would clarify application of the guidance. However, we believe the Board </w:t>
      </w:r>
      <w:r w:rsidR="000D3D94">
        <w:rPr>
          <w:color w:val="000000"/>
        </w:rPr>
        <w:t xml:space="preserve">should </w:t>
      </w:r>
      <w:r w:rsidR="00B2606C">
        <w:rPr>
          <w:color w:val="000000"/>
        </w:rPr>
        <w:t>provide add</w:t>
      </w:r>
      <w:r w:rsidR="002B52C0">
        <w:rPr>
          <w:color w:val="000000"/>
        </w:rPr>
        <w:t>itional clarity by explicitly stating that</w:t>
      </w:r>
      <w:r w:rsidR="00E70B4A">
        <w:rPr>
          <w:color w:val="000000"/>
        </w:rPr>
        <w:t>, in certain circumstances,</w:t>
      </w:r>
      <w:r w:rsidR="002B52C0">
        <w:rPr>
          <w:color w:val="000000"/>
        </w:rPr>
        <w:t xml:space="preserve"> </w:t>
      </w:r>
      <w:r w:rsidR="00E70B4A">
        <w:rPr>
          <w:color w:val="000000"/>
        </w:rPr>
        <w:t xml:space="preserve">a lessor may allocate </w:t>
      </w:r>
      <w:r w:rsidR="002B52C0">
        <w:rPr>
          <w:color w:val="000000"/>
        </w:rPr>
        <w:t xml:space="preserve">variable </w:t>
      </w:r>
      <w:r w:rsidR="00E70B4A">
        <w:rPr>
          <w:color w:val="000000"/>
        </w:rPr>
        <w:t>payments</w:t>
      </w:r>
      <w:r w:rsidR="002B52C0">
        <w:rPr>
          <w:color w:val="000000"/>
        </w:rPr>
        <w:t xml:space="preserve"> solely to the lease component, rather than allocat</w:t>
      </w:r>
      <w:r w:rsidR="000D3D94">
        <w:rPr>
          <w:color w:val="000000"/>
        </w:rPr>
        <w:t>ing the payment</w:t>
      </w:r>
      <w:r w:rsidR="002B52C0">
        <w:rPr>
          <w:color w:val="000000"/>
        </w:rPr>
        <w:t xml:space="preserve"> across the lease and nonlease components. We are aware of interpretive guidance suggesting that variable payments received from a lessee should be allocated to lease and nonlease components</w:t>
      </w:r>
      <w:r w:rsidR="00E70B4A">
        <w:rPr>
          <w:color w:val="000000"/>
        </w:rPr>
        <w:t>, or in some cases solely to a nonlease component,</w:t>
      </w:r>
      <w:r w:rsidR="002B52C0">
        <w:rPr>
          <w:color w:val="000000"/>
        </w:rPr>
        <w:t xml:space="preserve"> by the lessor. However, we note that paragraph</w:t>
      </w:r>
      <w:r w:rsidR="000D3D94">
        <w:rPr>
          <w:color w:val="000000"/>
        </w:rPr>
        <w:t>s</w:t>
      </w:r>
      <w:r w:rsidR="002B52C0">
        <w:rPr>
          <w:color w:val="000000"/>
        </w:rPr>
        <w:t xml:space="preserve"> 606-10-32-39 to 40 provide that variable consideration may be allocated to one or more performance obligations in certain situations. We believe the lease guidance should be consistent with Topic 606 in this respect and recommend that the Board add this clarification.</w:t>
      </w:r>
    </w:p>
    <w:p w14:paraId="2A179656" w14:textId="77777777" w:rsidR="00952FDF" w:rsidRDefault="00952FDF" w:rsidP="00696B96">
      <w:pPr>
        <w:autoSpaceDE w:val="0"/>
        <w:autoSpaceDN w:val="0"/>
        <w:adjustRightInd w:val="0"/>
        <w:spacing w:after="0" w:line="240" w:lineRule="auto"/>
        <w:rPr>
          <w:b/>
          <w:bCs/>
        </w:rPr>
      </w:pPr>
    </w:p>
    <w:p w14:paraId="1093F453" w14:textId="77777777" w:rsidR="00696B96" w:rsidRPr="00696B96" w:rsidRDefault="00696B96" w:rsidP="00696B96">
      <w:pPr>
        <w:autoSpaceDE w:val="0"/>
        <w:autoSpaceDN w:val="0"/>
        <w:adjustRightInd w:val="0"/>
        <w:spacing w:after="0" w:line="240" w:lineRule="auto"/>
      </w:pPr>
      <w:r w:rsidRPr="00696B96">
        <w:rPr>
          <w:b/>
          <w:bCs/>
        </w:rPr>
        <w:t xml:space="preserve">Question 10: </w:t>
      </w:r>
      <w:r w:rsidRPr="00952FDF">
        <w:rPr>
          <w:i/>
        </w:rPr>
        <w:t>Are the proposed amendments for the accounting for certain variable payments for contracts with lease and nonlease components operable? If not, please explain why.</w:t>
      </w:r>
      <w:r w:rsidRPr="00696B96">
        <w:t xml:space="preserve"> </w:t>
      </w:r>
    </w:p>
    <w:p w14:paraId="6D21771C" w14:textId="77777777" w:rsidR="00696B96" w:rsidRDefault="00696B96" w:rsidP="00696B96">
      <w:pPr>
        <w:autoSpaceDE w:val="0"/>
        <w:autoSpaceDN w:val="0"/>
        <w:adjustRightInd w:val="0"/>
        <w:spacing w:after="0" w:line="240" w:lineRule="auto"/>
      </w:pPr>
    </w:p>
    <w:p w14:paraId="759C1C7D" w14:textId="33C0DC4B" w:rsidR="00952FDF" w:rsidRPr="00952FDF" w:rsidRDefault="00952FDF" w:rsidP="00952FDF">
      <w:pPr>
        <w:autoSpaceDE w:val="0"/>
        <w:autoSpaceDN w:val="0"/>
        <w:adjustRightInd w:val="0"/>
        <w:spacing w:after="0" w:line="240" w:lineRule="auto"/>
        <w:rPr>
          <w:b/>
          <w:color w:val="000000"/>
        </w:rPr>
      </w:pPr>
      <w:r w:rsidRPr="00952FDF">
        <w:rPr>
          <w:b/>
          <w:color w:val="000000"/>
        </w:rPr>
        <w:t>Response:</w:t>
      </w:r>
      <w:r w:rsidR="002B52C0">
        <w:rPr>
          <w:b/>
          <w:color w:val="000000"/>
        </w:rPr>
        <w:t xml:space="preserve"> </w:t>
      </w:r>
      <w:r w:rsidR="002B52C0" w:rsidRPr="002B52C0">
        <w:rPr>
          <w:color w:val="000000"/>
        </w:rPr>
        <w:t>We believe the proposed amendments are operable, but recommend the Board make the additional clarification noted in our response to Question 9.</w:t>
      </w:r>
    </w:p>
    <w:p w14:paraId="22536D7D" w14:textId="77777777" w:rsidR="00952FDF" w:rsidRDefault="00952FDF" w:rsidP="00696B96">
      <w:pPr>
        <w:autoSpaceDE w:val="0"/>
        <w:autoSpaceDN w:val="0"/>
        <w:adjustRightInd w:val="0"/>
        <w:spacing w:after="0" w:line="240" w:lineRule="auto"/>
      </w:pPr>
    </w:p>
    <w:p w14:paraId="1710CC6D" w14:textId="77777777" w:rsidR="00696B96" w:rsidRPr="00696B96" w:rsidRDefault="00696B96" w:rsidP="00696B96">
      <w:pPr>
        <w:autoSpaceDE w:val="0"/>
        <w:autoSpaceDN w:val="0"/>
        <w:adjustRightInd w:val="0"/>
        <w:spacing w:after="0" w:line="240" w:lineRule="auto"/>
        <w:rPr>
          <w:u w:val="single"/>
        </w:rPr>
      </w:pPr>
      <w:r w:rsidRPr="00696B96">
        <w:rPr>
          <w:u w:val="single"/>
        </w:rPr>
        <w:t xml:space="preserve">Transition and Effective Date for Early Adopters </w:t>
      </w:r>
    </w:p>
    <w:p w14:paraId="2ED0E3E4" w14:textId="77777777" w:rsidR="00952FDF" w:rsidRDefault="00696B96" w:rsidP="00952FDF">
      <w:pPr>
        <w:autoSpaceDE w:val="0"/>
        <w:autoSpaceDN w:val="0"/>
        <w:adjustRightInd w:val="0"/>
        <w:spacing w:after="0" w:line="240" w:lineRule="auto"/>
      </w:pPr>
      <w:r w:rsidRPr="00696B96">
        <w:rPr>
          <w:b/>
          <w:bCs/>
        </w:rPr>
        <w:t xml:space="preserve">Question 11: </w:t>
      </w:r>
      <w:r w:rsidRPr="00952FDF">
        <w:rPr>
          <w:i/>
        </w:rPr>
        <w:t xml:space="preserve">How much time would be needed to implement the amendments in this proposed Update for an entity that early adopts Update 2016-02 before these proposed amendments are finalized? What transition </w:t>
      </w:r>
      <w:r w:rsidRPr="00952FDF">
        <w:rPr>
          <w:i/>
        </w:rPr>
        <w:lastRenderedPageBreak/>
        <w:t>method and transition disclosures should those entities be required to apply (provide)? Please explain your reasoning.</w:t>
      </w:r>
      <w:r w:rsidRPr="00696B96">
        <w:t xml:space="preserve"> </w:t>
      </w:r>
    </w:p>
    <w:p w14:paraId="488C6D69" w14:textId="77777777" w:rsidR="00952FDF" w:rsidRDefault="00952FDF" w:rsidP="00952FDF">
      <w:pPr>
        <w:autoSpaceDE w:val="0"/>
        <w:autoSpaceDN w:val="0"/>
        <w:adjustRightInd w:val="0"/>
        <w:spacing w:after="0" w:line="240" w:lineRule="auto"/>
      </w:pPr>
    </w:p>
    <w:p w14:paraId="262A151D" w14:textId="00EEBF90" w:rsidR="00952FDF" w:rsidRPr="002B52C0" w:rsidRDefault="00952FDF" w:rsidP="00952FDF">
      <w:pPr>
        <w:autoSpaceDE w:val="0"/>
        <w:autoSpaceDN w:val="0"/>
        <w:adjustRightInd w:val="0"/>
        <w:spacing w:after="0" w:line="240" w:lineRule="auto"/>
        <w:rPr>
          <w:color w:val="000000"/>
        </w:rPr>
      </w:pPr>
      <w:r w:rsidRPr="00952FDF">
        <w:rPr>
          <w:b/>
          <w:color w:val="000000"/>
        </w:rPr>
        <w:t>Response:</w:t>
      </w:r>
      <w:r w:rsidR="002B52C0">
        <w:rPr>
          <w:b/>
          <w:color w:val="000000"/>
        </w:rPr>
        <w:t xml:space="preserve"> </w:t>
      </w:r>
      <w:r w:rsidR="002B52C0">
        <w:rPr>
          <w:color w:val="000000"/>
        </w:rPr>
        <w:t xml:space="preserve">In most cases, we believe entities will not </w:t>
      </w:r>
      <w:r w:rsidR="00E22056">
        <w:rPr>
          <w:color w:val="000000"/>
        </w:rPr>
        <w:t xml:space="preserve">require significant time to implement the amendments in the proposed Update. </w:t>
      </w:r>
      <w:r w:rsidR="003A70CB">
        <w:rPr>
          <w:color w:val="000000"/>
        </w:rPr>
        <w:t>To the extent that the proposed amendments require a change in application for early adopters, we believe those entities should apply the amendments a</w:t>
      </w:r>
      <w:r w:rsidR="00E70B4A">
        <w:rPr>
          <w:color w:val="000000"/>
        </w:rPr>
        <w:t>s</w:t>
      </w:r>
      <w:r w:rsidR="003A70CB">
        <w:rPr>
          <w:color w:val="000000"/>
        </w:rPr>
        <w:t xml:space="preserve"> of the effective date of Update 2016-02.</w:t>
      </w:r>
    </w:p>
    <w:p w14:paraId="154791FC" w14:textId="77777777" w:rsidR="002B52C0" w:rsidRPr="00952FDF" w:rsidRDefault="002B52C0" w:rsidP="00952FDF">
      <w:pPr>
        <w:autoSpaceDE w:val="0"/>
        <w:autoSpaceDN w:val="0"/>
        <w:adjustRightInd w:val="0"/>
        <w:spacing w:after="0" w:line="240" w:lineRule="auto"/>
        <w:rPr>
          <w:b/>
          <w:color w:val="000000"/>
        </w:rPr>
      </w:pPr>
    </w:p>
    <w:p w14:paraId="28B527FD" w14:textId="77777777" w:rsidR="00952FDF" w:rsidRDefault="00696B96" w:rsidP="00696B96">
      <w:r w:rsidRPr="00696B96">
        <w:rPr>
          <w:b/>
          <w:bCs/>
        </w:rPr>
        <w:t xml:space="preserve">Question 12: </w:t>
      </w:r>
      <w:r w:rsidRPr="00952FDF">
        <w:rPr>
          <w:i/>
        </w:rPr>
        <w:t>Should the effective date for the amendments in this proposed Update be aligned with that of Update 2016-02? If not, please explain why.</w:t>
      </w:r>
    </w:p>
    <w:p w14:paraId="4E90DB97" w14:textId="153F58B3" w:rsidR="00952FDF" w:rsidRPr="00B13ADC" w:rsidRDefault="00952FDF" w:rsidP="00952FDF">
      <w:pPr>
        <w:autoSpaceDE w:val="0"/>
        <w:autoSpaceDN w:val="0"/>
        <w:adjustRightInd w:val="0"/>
        <w:spacing w:after="0" w:line="240" w:lineRule="auto"/>
        <w:rPr>
          <w:color w:val="000000"/>
        </w:rPr>
      </w:pPr>
      <w:r w:rsidRPr="00952FDF">
        <w:rPr>
          <w:b/>
          <w:color w:val="000000"/>
        </w:rPr>
        <w:t>Response:</w:t>
      </w:r>
      <w:r w:rsidR="00B13ADC">
        <w:rPr>
          <w:b/>
          <w:color w:val="000000"/>
        </w:rPr>
        <w:t xml:space="preserve"> </w:t>
      </w:r>
      <w:r w:rsidR="00B13ADC">
        <w:rPr>
          <w:color w:val="000000"/>
        </w:rPr>
        <w:t xml:space="preserve">We believe the effective date for the amendments in this proposed Update should be aligned with Update 2016-02. </w:t>
      </w:r>
    </w:p>
    <w:p w14:paraId="264516A9" w14:textId="77777777" w:rsidR="00952FDF" w:rsidRPr="00952FDF" w:rsidRDefault="00952FDF" w:rsidP="00952FDF">
      <w:pPr>
        <w:autoSpaceDE w:val="0"/>
        <w:autoSpaceDN w:val="0"/>
        <w:adjustRightInd w:val="0"/>
        <w:spacing w:after="0" w:line="240" w:lineRule="auto"/>
        <w:rPr>
          <w:b/>
          <w:color w:val="000000"/>
        </w:rPr>
      </w:pPr>
    </w:p>
    <w:p w14:paraId="508CC94E" w14:textId="7EBC27AB" w:rsidR="001674EA" w:rsidRPr="003A70CB" w:rsidRDefault="001674EA" w:rsidP="003A70CB">
      <w:pPr>
        <w:rPr>
          <w:b/>
          <w:sz w:val="20"/>
          <w:szCs w:val="20"/>
        </w:rPr>
        <w:sectPr w:rsidR="001674EA" w:rsidRPr="003A70CB" w:rsidSect="001674EA">
          <w:footerReference w:type="default" r:id="rId11"/>
          <w:headerReference w:type="first" r:id="rId12"/>
          <w:pgSz w:w="12240" w:h="15840"/>
          <w:pgMar w:top="1440" w:right="1152" w:bottom="1440" w:left="1440" w:header="720" w:footer="720" w:gutter="0"/>
          <w:cols w:space="720"/>
          <w:titlePg/>
          <w:docGrid w:linePitch="360"/>
        </w:sectPr>
      </w:pPr>
    </w:p>
    <w:p w14:paraId="3028E0D3" w14:textId="77777777" w:rsidR="00E25E8F" w:rsidRPr="005150CC" w:rsidRDefault="00E25E8F" w:rsidP="00E25E8F">
      <w:pPr>
        <w:tabs>
          <w:tab w:val="left" w:pos="360"/>
          <w:tab w:val="center" w:pos="4680"/>
        </w:tabs>
        <w:suppressAutoHyphens/>
        <w:spacing w:after="0"/>
        <w:jc w:val="center"/>
        <w:rPr>
          <w:sz w:val="20"/>
          <w:szCs w:val="20"/>
        </w:rPr>
      </w:pPr>
      <w:r w:rsidRPr="005150CC">
        <w:rPr>
          <w:sz w:val="20"/>
          <w:szCs w:val="20"/>
        </w:rPr>
        <w:lastRenderedPageBreak/>
        <w:t>APPENDIX A</w:t>
      </w:r>
    </w:p>
    <w:p w14:paraId="2B45C8D6" w14:textId="77777777" w:rsidR="00E25E8F" w:rsidRPr="00431A64" w:rsidRDefault="00E25E8F" w:rsidP="00E25E8F">
      <w:pPr>
        <w:tabs>
          <w:tab w:val="left" w:pos="360"/>
          <w:tab w:val="center" w:pos="4680"/>
        </w:tabs>
        <w:suppressAutoHyphens/>
        <w:spacing w:after="0"/>
        <w:jc w:val="center"/>
        <w:rPr>
          <w:sz w:val="20"/>
          <w:szCs w:val="20"/>
        </w:rPr>
      </w:pPr>
      <w:r w:rsidRPr="00431A64">
        <w:rPr>
          <w:sz w:val="20"/>
          <w:szCs w:val="20"/>
        </w:rPr>
        <w:t>ACCOUNTING PRINCIPLES COMMITTEE</w:t>
      </w:r>
    </w:p>
    <w:p w14:paraId="2F3671FA" w14:textId="77777777" w:rsidR="00E25E8F" w:rsidRPr="00431A64" w:rsidRDefault="00E25E8F" w:rsidP="00E25E8F">
      <w:pPr>
        <w:tabs>
          <w:tab w:val="center" w:pos="4680"/>
        </w:tabs>
        <w:suppressAutoHyphens/>
        <w:spacing w:after="0"/>
        <w:jc w:val="center"/>
        <w:rPr>
          <w:sz w:val="20"/>
          <w:szCs w:val="20"/>
        </w:rPr>
      </w:pPr>
      <w:r w:rsidRPr="00431A64">
        <w:rPr>
          <w:sz w:val="20"/>
          <w:szCs w:val="20"/>
        </w:rPr>
        <w:t>ORGANIZATION AND OPERATING PROCEDURES</w:t>
      </w:r>
    </w:p>
    <w:p w14:paraId="56BF56CD" w14:textId="77777777" w:rsidR="00E25E8F" w:rsidRPr="00431A64" w:rsidRDefault="00E25E8F" w:rsidP="00E25E8F">
      <w:pPr>
        <w:tabs>
          <w:tab w:val="center" w:pos="4680"/>
        </w:tabs>
        <w:suppressAutoHyphens/>
        <w:spacing w:after="0"/>
        <w:jc w:val="center"/>
        <w:rPr>
          <w:sz w:val="20"/>
          <w:szCs w:val="20"/>
        </w:rPr>
      </w:pPr>
      <w:r w:rsidRPr="00431A64">
        <w:rPr>
          <w:sz w:val="20"/>
          <w:szCs w:val="20"/>
        </w:rPr>
        <w:t>201</w:t>
      </w:r>
      <w:r>
        <w:rPr>
          <w:sz w:val="20"/>
          <w:szCs w:val="20"/>
        </w:rPr>
        <w:t>8</w:t>
      </w:r>
      <w:r w:rsidRPr="00431A64">
        <w:rPr>
          <w:sz w:val="20"/>
          <w:szCs w:val="20"/>
        </w:rPr>
        <w:t>-201</w:t>
      </w:r>
      <w:r>
        <w:rPr>
          <w:sz w:val="20"/>
          <w:szCs w:val="20"/>
        </w:rPr>
        <w:t>9</w:t>
      </w:r>
    </w:p>
    <w:p w14:paraId="0571E9E7" w14:textId="77777777" w:rsidR="00E25E8F" w:rsidRPr="00C458D7" w:rsidRDefault="00E25E8F" w:rsidP="00E25E8F">
      <w:pPr>
        <w:pStyle w:val="NoSpacing"/>
        <w:rPr>
          <w:sz w:val="20"/>
          <w:szCs w:val="20"/>
        </w:rPr>
      </w:pPr>
    </w:p>
    <w:p w14:paraId="7E27029B" w14:textId="77777777" w:rsidR="00E25E8F" w:rsidRDefault="00E25E8F" w:rsidP="00E25E8F">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399BDD49" w14:textId="77777777" w:rsidR="00E25E8F" w:rsidRPr="00C458D7" w:rsidRDefault="00E25E8F" w:rsidP="00E25E8F">
      <w:pPr>
        <w:pStyle w:val="NoSpacing"/>
        <w:jc w:val="both"/>
        <w:rPr>
          <w:spacing w:val="-3"/>
          <w:sz w:val="20"/>
          <w:szCs w:val="20"/>
        </w:rPr>
      </w:pPr>
    </w:p>
    <w:p w14:paraId="2B84FF6E" w14:textId="77777777" w:rsidR="00E25E8F" w:rsidRDefault="00E25E8F" w:rsidP="00E25E8F">
      <w:pPr>
        <w:pStyle w:val="NoSpacing"/>
        <w:jc w:val="both"/>
        <w:rPr>
          <w:spacing w:val="-3"/>
          <w:sz w:val="20"/>
          <w:szCs w:val="20"/>
        </w:rPr>
      </w:pPr>
      <w:r w:rsidRPr="00C458D7">
        <w:rPr>
          <w:spacing w:val="-3"/>
          <w:sz w:val="20"/>
          <w:szCs w:val="20"/>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2847E47F" w14:textId="77777777" w:rsidR="00E25E8F" w:rsidRPr="00C458D7" w:rsidRDefault="00E25E8F" w:rsidP="00E25E8F">
      <w:pPr>
        <w:pStyle w:val="NoSpacing"/>
        <w:jc w:val="both"/>
        <w:rPr>
          <w:b/>
          <w:spacing w:val="-3"/>
          <w:sz w:val="20"/>
          <w:szCs w:val="20"/>
        </w:rPr>
      </w:pPr>
    </w:p>
    <w:p w14:paraId="6915A531" w14:textId="77777777" w:rsidR="00E25E8F" w:rsidRPr="00CE74F8" w:rsidRDefault="00E25E8F" w:rsidP="00E25E8F">
      <w:pPr>
        <w:tabs>
          <w:tab w:val="left" w:pos="-720"/>
        </w:tabs>
        <w:suppressAutoHyphens/>
        <w:spacing w:after="0"/>
        <w:jc w:val="both"/>
        <w:rPr>
          <w:b/>
          <w:spacing w:val="-3"/>
          <w:sz w:val="20"/>
          <w:szCs w:val="20"/>
        </w:rPr>
      </w:pPr>
      <w:r w:rsidRPr="00CE74F8">
        <w:rPr>
          <w:b/>
          <w:spacing w:val="-3"/>
          <w:sz w:val="20"/>
          <w:szCs w:val="20"/>
        </w:rPr>
        <w:t>Public Accounting Firms:</w:t>
      </w:r>
    </w:p>
    <w:p w14:paraId="7E6F2675" w14:textId="77777777" w:rsidR="00E25E8F" w:rsidRPr="00CE74F8" w:rsidRDefault="00E25E8F" w:rsidP="00E25E8F">
      <w:pPr>
        <w:tabs>
          <w:tab w:val="left" w:pos="-720"/>
        </w:tabs>
        <w:suppressAutoHyphens/>
        <w:spacing w:after="0"/>
        <w:jc w:val="both"/>
        <w:rPr>
          <w:b/>
          <w:spacing w:val="-3"/>
          <w:sz w:val="20"/>
          <w:szCs w:val="20"/>
        </w:rPr>
      </w:pPr>
      <w:r w:rsidRPr="00CE74F8">
        <w:rPr>
          <w:b/>
          <w:spacing w:val="-3"/>
          <w:sz w:val="20"/>
          <w:szCs w:val="20"/>
        </w:rPr>
        <w:t xml:space="preserve">   Large: </w:t>
      </w:r>
      <w:r w:rsidRPr="00CE74F8">
        <w:rPr>
          <w:spacing w:val="-3"/>
          <w:sz w:val="20"/>
          <w:szCs w:val="20"/>
        </w:rPr>
        <w:t>(national &amp; regional)</w:t>
      </w:r>
    </w:p>
    <w:p w14:paraId="092358A8" w14:textId="77777777" w:rsidR="00E25E8F" w:rsidRPr="00CE74F8" w:rsidRDefault="00E25E8F" w:rsidP="00E25E8F">
      <w:pPr>
        <w:pStyle w:val="NoSpacing"/>
        <w:tabs>
          <w:tab w:val="left" w:pos="360"/>
        </w:tabs>
        <w:rPr>
          <w:sz w:val="20"/>
          <w:szCs w:val="20"/>
        </w:rPr>
      </w:pPr>
      <w:r w:rsidRPr="00CE74F8">
        <w:rPr>
          <w:sz w:val="20"/>
          <w:szCs w:val="20"/>
          <w:lang w:val="fr-FR"/>
        </w:rPr>
        <w:tab/>
      </w:r>
      <w:r w:rsidRPr="00CE74F8">
        <w:rPr>
          <w:sz w:val="20"/>
          <w:szCs w:val="20"/>
        </w:rPr>
        <w:t>Jared Bourgeois, CPA</w:t>
      </w:r>
      <w:r w:rsidRPr="00CE74F8">
        <w:rPr>
          <w:sz w:val="20"/>
          <w:szCs w:val="20"/>
        </w:rPr>
        <w:tab/>
      </w:r>
      <w:r w:rsidRPr="00CE74F8">
        <w:rPr>
          <w:sz w:val="20"/>
          <w:szCs w:val="20"/>
        </w:rPr>
        <w:tab/>
      </w:r>
      <w:r w:rsidRPr="00CE74F8">
        <w:rPr>
          <w:sz w:val="20"/>
          <w:szCs w:val="20"/>
        </w:rPr>
        <w:tab/>
      </w:r>
      <w:r w:rsidRPr="00CE74F8">
        <w:rPr>
          <w:sz w:val="20"/>
          <w:szCs w:val="20"/>
        </w:rPr>
        <w:tab/>
        <w:t xml:space="preserve">PricewaterhouseCoopers LLP </w:t>
      </w:r>
    </w:p>
    <w:p w14:paraId="2C0CEC24" w14:textId="77777777" w:rsidR="00E25E8F" w:rsidRDefault="00E25E8F" w:rsidP="00E25E8F">
      <w:pPr>
        <w:pStyle w:val="NoSpacing"/>
        <w:tabs>
          <w:tab w:val="left" w:pos="360"/>
        </w:tabs>
        <w:rPr>
          <w:sz w:val="20"/>
          <w:szCs w:val="20"/>
        </w:rPr>
      </w:pPr>
      <w:r w:rsidRPr="00CE74F8">
        <w:rPr>
          <w:sz w:val="20"/>
          <w:szCs w:val="20"/>
        </w:rPr>
        <w:tab/>
        <w:t xml:space="preserve">Ryan Brady, CPA                      </w:t>
      </w:r>
      <w:r w:rsidRPr="00CE74F8">
        <w:rPr>
          <w:sz w:val="20"/>
          <w:szCs w:val="20"/>
        </w:rPr>
        <w:tab/>
      </w:r>
      <w:r w:rsidRPr="00CE74F8">
        <w:rPr>
          <w:sz w:val="20"/>
          <w:szCs w:val="20"/>
        </w:rPr>
        <w:tab/>
        <w:t>Grant Thornton LLP</w:t>
      </w:r>
    </w:p>
    <w:p w14:paraId="06CBE305" w14:textId="77777777" w:rsidR="00E25E8F" w:rsidRPr="00CE74F8" w:rsidRDefault="00E25E8F" w:rsidP="00E25E8F">
      <w:pPr>
        <w:pStyle w:val="NoSpacing"/>
        <w:tabs>
          <w:tab w:val="left" w:pos="360"/>
        </w:tabs>
        <w:rPr>
          <w:sz w:val="20"/>
          <w:szCs w:val="20"/>
        </w:rPr>
      </w:pPr>
      <w:r>
        <w:rPr>
          <w:sz w:val="20"/>
          <w:szCs w:val="20"/>
        </w:rPr>
        <w:t xml:space="preserve">       Matthew Denton</w:t>
      </w:r>
      <w:r w:rsidRPr="00CE74F8">
        <w:rPr>
          <w:sz w:val="20"/>
          <w:szCs w:val="20"/>
        </w:rPr>
        <w:t xml:space="preserve">, CPA                      </w:t>
      </w:r>
      <w:r w:rsidRPr="00CE74F8">
        <w:rPr>
          <w:sz w:val="20"/>
          <w:szCs w:val="20"/>
        </w:rPr>
        <w:tab/>
      </w:r>
      <w:r w:rsidRPr="00CE74F8">
        <w:rPr>
          <w:sz w:val="20"/>
          <w:szCs w:val="20"/>
        </w:rPr>
        <w:tab/>
      </w:r>
      <w:r>
        <w:rPr>
          <w:sz w:val="20"/>
          <w:szCs w:val="20"/>
        </w:rPr>
        <w:t>Sikich LLP</w:t>
      </w:r>
    </w:p>
    <w:p w14:paraId="56D0E44C" w14:textId="77777777" w:rsidR="00E25E8F" w:rsidRPr="00CE74F8" w:rsidRDefault="00E25E8F" w:rsidP="00E25E8F">
      <w:pPr>
        <w:pStyle w:val="NoSpacing"/>
        <w:tabs>
          <w:tab w:val="left" w:pos="360"/>
        </w:tabs>
        <w:rPr>
          <w:sz w:val="20"/>
          <w:szCs w:val="20"/>
        </w:rPr>
      </w:pPr>
      <w:r w:rsidRPr="00CE74F8">
        <w:rPr>
          <w:sz w:val="20"/>
          <w:szCs w:val="20"/>
        </w:rPr>
        <w:t xml:space="preserve">       Ashlee Earl, CPA                                                   Ernst &amp; Young LLP</w:t>
      </w:r>
    </w:p>
    <w:p w14:paraId="26D31B44" w14:textId="77777777" w:rsidR="00E25E8F" w:rsidRPr="00CE74F8" w:rsidRDefault="00E25E8F" w:rsidP="00E25E8F">
      <w:pPr>
        <w:pStyle w:val="NoSpacing"/>
        <w:tabs>
          <w:tab w:val="left" w:pos="360"/>
        </w:tabs>
        <w:rPr>
          <w:sz w:val="20"/>
          <w:szCs w:val="20"/>
        </w:rPr>
      </w:pPr>
      <w:r w:rsidRPr="00CE74F8">
        <w:rPr>
          <w:sz w:val="20"/>
          <w:szCs w:val="20"/>
        </w:rPr>
        <w:tab/>
        <w:t>Jason Eaves, CPA                                                  Crowe LLP</w:t>
      </w:r>
    </w:p>
    <w:p w14:paraId="0BC9C983" w14:textId="77777777" w:rsidR="00E25E8F" w:rsidRPr="00CE74F8" w:rsidRDefault="00E25E8F" w:rsidP="00E25E8F">
      <w:pPr>
        <w:pStyle w:val="NoSpacing"/>
        <w:tabs>
          <w:tab w:val="left" w:pos="360"/>
        </w:tabs>
        <w:rPr>
          <w:sz w:val="20"/>
          <w:szCs w:val="20"/>
        </w:rPr>
      </w:pPr>
      <w:r w:rsidRPr="00CE74F8">
        <w:rPr>
          <w:sz w:val="20"/>
          <w:szCs w:val="20"/>
        </w:rPr>
        <w:tab/>
        <w:t>William Keirse, CPA</w:t>
      </w:r>
      <w:r w:rsidRPr="00CE74F8">
        <w:rPr>
          <w:sz w:val="20"/>
          <w:szCs w:val="20"/>
        </w:rPr>
        <w:tab/>
      </w:r>
      <w:r w:rsidRPr="00CE74F8">
        <w:rPr>
          <w:spacing w:val="-3"/>
          <w:sz w:val="20"/>
          <w:szCs w:val="20"/>
        </w:rPr>
        <w:t>(Vice Chair)</w:t>
      </w:r>
      <w:r w:rsidRPr="00CE74F8">
        <w:rPr>
          <w:sz w:val="20"/>
          <w:szCs w:val="20"/>
        </w:rPr>
        <w:tab/>
      </w:r>
      <w:r w:rsidRPr="00CE74F8">
        <w:rPr>
          <w:sz w:val="20"/>
          <w:szCs w:val="20"/>
        </w:rPr>
        <w:tab/>
        <w:t>Ernst &amp; Young LLP</w:t>
      </w:r>
    </w:p>
    <w:p w14:paraId="574456D8" w14:textId="77777777" w:rsidR="00E25E8F" w:rsidRPr="00CE74F8" w:rsidRDefault="00E25E8F" w:rsidP="00E25E8F">
      <w:pPr>
        <w:pStyle w:val="NoSpacing"/>
        <w:tabs>
          <w:tab w:val="left" w:pos="360"/>
        </w:tabs>
        <w:rPr>
          <w:sz w:val="20"/>
          <w:szCs w:val="20"/>
        </w:rPr>
      </w:pPr>
      <w:r w:rsidRPr="00CE74F8">
        <w:rPr>
          <w:sz w:val="20"/>
          <w:szCs w:val="20"/>
        </w:rPr>
        <w:tab/>
        <w:t xml:space="preserve">Scott Lehman, CPA </w:t>
      </w:r>
      <w:r w:rsidRPr="00CE74F8">
        <w:rPr>
          <w:sz w:val="20"/>
          <w:szCs w:val="20"/>
        </w:rPr>
        <w:tab/>
        <w:t xml:space="preserve">  </w:t>
      </w:r>
      <w:r w:rsidRPr="00CE74F8">
        <w:rPr>
          <w:sz w:val="20"/>
          <w:szCs w:val="20"/>
        </w:rPr>
        <w:tab/>
      </w:r>
      <w:r w:rsidRPr="00CE74F8">
        <w:rPr>
          <w:sz w:val="20"/>
          <w:szCs w:val="20"/>
        </w:rPr>
        <w:tab/>
      </w:r>
      <w:r w:rsidRPr="00CE74F8">
        <w:rPr>
          <w:sz w:val="20"/>
          <w:szCs w:val="20"/>
        </w:rPr>
        <w:tab/>
        <w:t>Crowe LLP</w:t>
      </w:r>
    </w:p>
    <w:p w14:paraId="73C47568" w14:textId="77777777" w:rsidR="00E25E8F" w:rsidRPr="00CE74F8" w:rsidRDefault="00E25E8F" w:rsidP="00E25E8F">
      <w:pPr>
        <w:pStyle w:val="NoSpacing"/>
        <w:tabs>
          <w:tab w:val="left" w:pos="360"/>
        </w:tabs>
        <w:rPr>
          <w:sz w:val="20"/>
          <w:szCs w:val="20"/>
          <w:lang w:val="fr-FR"/>
        </w:rPr>
      </w:pPr>
      <w:r w:rsidRPr="00CE74F8">
        <w:rPr>
          <w:sz w:val="20"/>
          <w:szCs w:val="20"/>
        </w:rPr>
        <w:t xml:space="preserve">       </w:t>
      </w:r>
      <w:r w:rsidRPr="00CE74F8">
        <w:rPr>
          <w:sz w:val="20"/>
          <w:szCs w:val="20"/>
          <w:lang w:val="fr-FR"/>
        </w:rPr>
        <w:t>Melissa Lynch, CPA                                              Plante Moran, PLLC</w:t>
      </w:r>
    </w:p>
    <w:p w14:paraId="52D907EC" w14:textId="77777777" w:rsidR="00E25E8F" w:rsidRPr="00CE74F8" w:rsidRDefault="00E25E8F" w:rsidP="00E25E8F">
      <w:pPr>
        <w:pStyle w:val="NoSpacing"/>
        <w:tabs>
          <w:tab w:val="left" w:pos="360"/>
        </w:tabs>
        <w:rPr>
          <w:sz w:val="20"/>
          <w:szCs w:val="20"/>
          <w:lang w:val="fr-FR"/>
        </w:rPr>
      </w:pPr>
      <w:r w:rsidRPr="00CE74F8">
        <w:rPr>
          <w:sz w:val="20"/>
          <w:szCs w:val="20"/>
          <w:lang w:val="fr-FR"/>
        </w:rPr>
        <w:t xml:space="preserve">       Thomas Masterson, CPA</w:t>
      </w:r>
      <w:r w:rsidRPr="00CE74F8">
        <w:rPr>
          <w:sz w:val="20"/>
          <w:szCs w:val="20"/>
        </w:rPr>
        <w:tab/>
      </w:r>
      <w:r w:rsidRPr="00CE74F8">
        <w:rPr>
          <w:sz w:val="20"/>
          <w:szCs w:val="20"/>
          <w:lang w:val="fr-FR"/>
        </w:rPr>
        <w:t xml:space="preserve">  </w:t>
      </w:r>
      <w:r w:rsidRPr="00CE74F8">
        <w:rPr>
          <w:sz w:val="20"/>
          <w:szCs w:val="20"/>
          <w:lang w:val="fr-FR"/>
        </w:rPr>
        <w:tab/>
      </w:r>
      <w:r w:rsidRPr="00CE74F8">
        <w:rPr>
          <w:sz w:val="20"/>
          <w:szCs w:val="20"/>
          <w:lang w:val="fr-FR"/>
        </w:rPr>
        <w:tab/>
      </w:r>
      <w:proofErr w:type="spellStart"/>
      <w:r w:rsidRPr="00CE74F8">
        <w:rPr>
          <w:sz w:val="20"/>
          <w:szCs w:val="20"/>
          <w:lang w:val="fr-FR"/>
        </w:rPr>
        <w:t>Wipfli</w:t>
      </w:r>
      <w:proofErr w:type="spellEnd"/>
      <w:r w:rsidRPr="00CE74F8">
        <w:rPr>
          <w:sz w:val="20"/>
          <w:szCs w:val="20"/>
          <w:lang w:val="fr-FR"/>
        </w:rPr>
        <w:t xml:space="preserve"> LLP</w:t>
      </w:r>
    </w:p>
    <w:p w14:paraId="6B11CD5C" w14:textId="77777777" w:rsidR="00E25E8F" w:rsidRPr="00CE74F8" w:rsidRDefault="00E25E8F" w:rsidP="00E25E8F">
      <w:pPr>
        <w:pStyle w:val="NoSpacing"/>
        <w:tabs>
          <w:tab w:val="left" w:pos="360"/>
        </w:tabs>
        <w:rPr>
          <w:sz w:val="20"/>
          <w:szCs w:val="20"/>
          <w:lang w:val="fr-FR"/>
        </w:rPr>
      </w:pPr>
      <w:r w:rsidRPr="00CE74F8">
        <w:rPr>
          <w:sz w:val="20"/>
          <w:szCs w:val="20"/>
          <w:lang w:val="fr-FR"/>
        </w:rPr>
        <w:t xml:space="preserve">       Reid Mitchell, CPA</w:t>
      </w:r>
      <w:r w:rsidRPr="00CE74F8">
        <w:rPr>
          <w:sz w:val="20"/>
          <w:szCs w:val="20"/>
        </w:rPr>
        <w:tab/>
      </w:r>
      <w:r w:rsidRPr="00CE74F8">
        <w:rPr>
          <w:sz w:val="20"/>
          <w:szCs w:val="20"/>
          <w:lang w:val="fr-FR"/>
        </w:rPr>
        <w:t xml:space="preserve">  </w:t>
      </w:r>
      <w:r w:rsidRPr="00CE74F8">
        <w:rPr>
          <w:sz w:val="20"/>
          <w:szCs w:val="20"/>
          <w:lang w:val="fr-FR"/>
        </w:rPr>
        <w:tab/>
      </w:r>
      <w:r w:rsidRPr="00CE74F8">
        <w:rPr>
          <w:sz w:val="20"/>
          <w:szCs w:val="20"/>
          <w:lang w:val="fr-FR"/>
        </w:rPr>
        <w:tab/>
      </w:r>
      <w:r w:rsidRPr="00CE74F8">
        <w:rPr>
          <w:sz w:val="20"/>
          <w:szCs w:val="20"/>
          <w:lang w:val="fr-FR"/>
        </w:rPr>
        <w:tab/>
      </w:r>
      <w:proofErr w:type="spellStart"/>
      <w:r w:rsidRPr="00CE74F8">
        <w:rPr>
          <w:sz w:val="20"/>
          <w:szCs w:val="20"/>
          <w:lang w:val="fr-FR"/>
        </w:rPr>
        <w:t>Wipfli</w:t>
      </w:r>
      <w:proofErr w:type="spellEnd"/>
      <w:r w:rsidRPr="00CE74F8">
        <w:rPr>
          <w:sz w:val="20"/>
          <w:szCs w:val="20"/>
          <w:lang w:val="fr-FR"/>
        </w:rPr>
        <w:t xml:space="preserve"> LLP</w:t>
      </w:r>
    </w:p>
    <w:p w14:paraId="25004074" w14:textId="77777777" w:rsidR="00E25E8F" w:rsidRPr="00CE74F8" w:rsidRDefault="00E25E8F" w:rsidP="00E25E8F">
      <w:pPr>
        <w:pStyle w:val="NoSpacing"/>
        <w:tabs>
          <w:tab w:val="left" w:pos="360"/>
        </w:tabs>
        <w:rPr>
          <w:sz w:val="20"/>
          <w:szCs w:val="20"/>
        </w:rPr>
      </w:pPr>
      <w:r w:rsidRPr="00CE74F8">
        <w:rPr>
          <w:sz w:val="20"/>
          <w:szCs w:val="20"/>
        </w:rPr>
        <w:t xml:space="preserve">       Matthew Mitzen, CPA</w:t>
      </w:r>
      <w:r w:rsidRPr="00CE74F8">
        <w:rPr>
          <w:sz w:val="20"/>
          <w:szCs w:val="20"/>
        </w:rPr>
        <w:tab/>
        <w:t xml:space="preserve">  </w:t>
      </w:r>
      <w:r w:rsidRPr="00CE74F8">
        <w:rPr>
          <w:sz w:val="20"/>
          <w:szCs w:val="20"/>
        </w:rPr>
        <w:tab/>
      </w:r>
      <w:r w:rsidRPr="00CE74F8">
        <w:rPr>
          <w:sz w:val="20"/>
          <w:szCs w:val="20"/>
        </w:rPr>
        <w:tab/>
        <w:t>Marcum LLP</w:t>
      </w:r>
    </w:p>
    <w:p w14:paraId="15B569B3" w14:textId="77777777" w:rsidR="00E25E8F" w:rsidRDefault="00E25E8F" w:rsidP="00E25E8F">
      <w:pPr>
        <w:pStyle w:val="NoSpacing"/>
        <w:tabs>
          <w:tab w:val="left" w:pos="360"/>
        </w:tabs>
        <w:ind w:left="360" w:hanging="360"/>
        <w:rPr>
          <w:sz w:val="20"/>
          <w:szCs w:val="20"/>
          <w:lang w:val="fr-FR"/>
        </w:rPr>
      </w:pPr>
      <w:r w:rsidRPr="00CE74F8">
        <w:rPr>
          <w:sz w:val="20"/>
          <w:szCs w:val="20"/>
          <w:lang w:val="fr-FR"/>
        </w:rPr>
        <w:t xml:space="preserve">       Elizabeth Prossnitz, CPA</w:t>
      </w:r>
      <w:r w:rsidRPr="00CE74F8">
        <w:rPr>
          <w:sz w:val="20"/>
          <w:szCs w:val="20"/>
          <w:lang w:val="fr-FR"/>
        </w:rPr>
        <w:tab/>
      </w:r>
      <w:r w:rsidRPr="00CE74F8">
        <w:rPr>
          <w:sz w:val="20"/>
          <w:szCs w:val="20"/>
          <w:lang w:val="fr-FR"/>
        </w:rPr>
        <w:tab/>
      </w:r>
      <w:r w:rsidRPr="00CE74F8">
        <w:rPr>
          <w:sz w:val="20"/>
          <w:szCs w:val="20"/>
          <w:lang w:val="fr-FR"/>
        </w:rPr>
        <w:tab/>
        <w:t>BDO USA LLP</w:t>
      </w:r>
    </w:p>
    <w:p w14:paraId="6BA4BD69" w14:textId="77777777" w:rsidR="00E25E8F" w:rsidRPr="00CE74F8" w:rsidRDefault="00E25E8F" w:rsidP="00E25E8F">
      <w:pPr>
        <w:pStyle w:val="NoSpacing"/>
        <w:tabs>
          <w:tab w:val="left" w:pos="360"/>
        </w:tabs>
        <w:ind w:left="360" w:hanging="360"/>
        <w:rPr>
          <w:sz w:val="20"/>
          <w:szCs w:val="20"/>
          <w:lang w:val="fr-FR"/>
        </w:rPr>
      </w:pPr>
      <w:r>
        <w:rPr>
          <w:sz w:val="20"/>
          <w:szCs w:val="20"/>
          <w:lang w:val="fr-FR"/>
        </w:rPr>
        <w:t xml:space="preserve">       Darshana </w:t>
      </w:r>
      <w:proofErr w:type="spellStart"/>
      <w:r>
        <w:rPr>
          <w:sz w:val="20"/>
          <w:szCs w:val="20"/>
          <w:lang w:val="fr-FR"/>
        </w:rPr>
        <w:t>Raigaga</w:t>
      </w:r>
      <w:proofErr w:type="spellEnd"/>
      <w:r w:rsidRPr="00CE74F8">
        <w:rPr>
          <w:sz w:val="20"/>
          <w:szCs w:val="20"/>
          <w:lang w:val="fr-FR"/>
        </w:rPr>
        <w:t>, CPA</w:t>
      </w:r>
      <w:r w:rsidRPr="00CE74F8">
        <w:rPr>
          <w:sz w:val="20"/>
          <w:szCs w:val="20"/>
          <w:lang w:val="fr-FR"/>
        </w:rPr>
        <w:tab/>
      </w:r>
      <w:r w:rsidRPr="00CE74F8">
        <w:rPr>
          <w:sz w:val="20"/>
          <w:szCs w:val="20"/>
          <w:lang w:val="fr-FR"/>
        </w:rPr>
        <w:tab/>
      </w:r>
      <w:r w:rsidRPr="00CE74F8">
        <w:rPr>
          <w:sz w:val="20"/>
          <w:szCs w:val="20"/>
          <w:lang w:val="fr-FR"/>
        </w:rPr>
        <w:tab/>
        <w:t>BDO USA LLP</w:t>
      </w:r>
      <w:r w:rsidRPr="00CE74F8">
        <w:rPr>
          <w:sz w:val="20"/>
          <w:szCs w:val="20"/>
          <w:lang w:val="fr-FR"/>
        </w:rPr>
        <w:tab/>
      </w:r>
      <w:r w:rsidRPr="00CE74F8">
        <w:rPr>
          <w:sz w:val="20"/>
          <w:szCs w:val="20"/>
          <w:lang w:val="fr-FR"/>
        </w:rPr>
        <w:tab/>
      </w:r>
    </w:p>
    <w:p w14:paraId="2A0346A1" w14:textId="77777777" w:rsidR="00E25E8F" w:rsidRPr="00CE74F8" w:rsidRDefault="00E25E8F" w:rsidP="00E25E8F">
      <w:pPr>
        <w:pStyle w:val="NoSpacing"/>
        <w:tabs>
          <w:tab w:val="left" w:pos="360"/>
        </w:tabs>
        <w:ind w:left="360" w:hanging="360"/>
        <w:rPr>
          <w:sz w:val="20"/>
          <w:szCs w:val="20"/>
          <w:lang w:val="fr-FR"/>
        </w:rPr>
      </w:pPr>
      <w:r w:rsidRPr="00CE74F8">
        <w:rPr>
          <w:sz w:val="20"/>
          <w:szCs w:val="20"/>
          <w:lang w:val="fr-FR"/>
        </w:rPr>
        <w:t xml:space="preserve">  </w:t>
      </w:r>
      <w:proofErr w:type="gramStart"/>
      <w:r w:rsidRPr="00CE74F8">
        <w:rPr>
          <w:b/>
          <w:sz w:val="20"/>
          <w:szCs w:val="20"/>
          <w:lang w:val="fr-FR"/>
        </w:rPr>
        <w:t>Medium:</w:t>
      </w:r>
      <w:proofErr w:type="gramEnd"/>
      <w:r w:rsidRPr="00CE74F8">
        <w:rPr>
          <w:b/>
          <w:sz w:val="20"/>
          <w:szCs w:val="20"/>
          <w:lang w:val="fr-FR"/>
        </w:rPr>
        <w:t xml:space="preserve"> </w:t>
      </w:r>
      <w:r w:rsidRPr="00CE74F8">
        <w:rPr>
          <w:sz w:val="20"/>
          <w:szCs w:val="20"/>
          <w:lang w:val="fr-FR"/>
        </w:rPr>
        <w:t xml:space="preserve">(more </w:t>
      </w:r>
      <w:proofErr w:type="spellStart"/>
      <w:r w:rsidRPr="00CE74F8">
        <w:rPr>
          <w:sz w:val="20"/>
          <w:szCs w:val="20"/>
          <w:lang w:val="fr-FR"/>
        </w:rPr>
        <w:t>than</w:t>
      </w:r>
      <w:proofErr w:type="spellEnd"/>
      <w:r w:rsidRPr="00CE74F8">
        <w:rPr>
          <w:sz w:val="20"/>
          <w:szCs w:val="20"/>
          <w:lang w:val="fr-FR"/>
        </w:rPr>
        <w:t xml:space="preserve"> 40 </w:t>
      </w:r>
      <w:r w:rsidRPr="00CE74F8">
        <w:rPr>
          <w:sz w:val="20"/>
          <w:szCs w:val="20"/>
        </w:rPr>
        <w:t>professionals</w:t>
      </w:r>
      <w:r w:rsidRPr="00CE74F8">
        <w:rPr>
          <w:sz w:val="20"/>
          <w:szCs w:val="20"/>
          <w:lang w:val="fr-FR"/>
        </w:rPr>
        <w:t>)</w:t>
      </w:r>
      <w:r w:rsidRPr="00CE74F8">
        <w:rPr>
          <w:sz w:val="20"/>
          <w:szCs w:val="20"/>
          <w:lang w:val="fr-FR"/>
        </w:rPr>
        <w:br/>
        <w:t xml:space="preserve">Almira Goethe, CPA                               </w:t>
      </w:r>
      <w:r w:rsidRPr="00CE74F8">
        <w:rPr>
          <w:sz w:val="20"/>
          <w:szCs w:val="20"/>
          <w:lang w:val="fr-FR"/>
        </w:rPr>
        <w:tab/>
      </w:r>
      <w:r w:rsidRPr="00CE74F8">
        <w:rPr>
          <w:sz w:val="20"/>
          <w:szCs w:val="20"/>
          <w:lang w:val="fr-FR"/>
        </w:rPr>
        <w:tab/>
        <w:t>CDH, PC</w:t>
      </w:r>
    </w:p>
    <w:p w14:paraId="5AB94E1A" w14:textId="77777777" w:rsidR="00E25E8F" w:rsidRPr="00CE74F8" w:rsidRDefault="00E25E8F" w:rsidP="00E25E8F">
      <w:pPr>
        <w:pStyle w:val="NoSpacing"/>
        <w:tabs>
          <w:tab w:val="left" w:pos="360"/>
        </w:tabs>
        <w:rPr>
          <w:b/>
          <w:sz w:val="20"/>
          <w:szCs w:val="20"/>
        </w:rPr>
      </w:pPr>
      <w:r w:rsidRPr="00CE74F8">
        <w:rPr>
          <w:spacing w:val="-3"/>
          <w:sz w:val="20"/>
          <w:szCs w:val="20"/>
          <w:lang w:val="fr-FR"/>
        </w:rPr>
        <w:t xml:space="preserve">  </w:t>
      </w:r>
      <w:r w:rsidRPr="00CE74F8">
        <w:rPr>
          <w:spacing w:val="-3"/>
          <w:sz w:val="20"/>
          <w:szCs w:val="20"/>
          <w:lang w:val="fr-FR"/>
        </w:rPr>
        <w:tab/>
      </w:r>
      <w:r w:rsidRPr="00CE74F8">
        <w:rPr>
          <w:spacing w:val="-3"/>
          <w:sz w:val="20"/>
          <w:szCs w:val="20"/>
        </w:rPr>
        <w:t>Danielle Martin,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Porte Brown LLC</w:t>
      </w:r>
      <w:r w:rsidRPr="00CE74F8">
        <w:rPr>
          <w:spacing w:val="-3"/>
          <w:sz w:val="20"/>
          <w:szCs w:val="20"/>
        </w:rPr>
        <w:br/>
        <w:t xml:space="preserve">     </w:t>
      </w:r>
      <w:r w:rsidRPr="00CE74F8">
        <w:rPr>
          <w:spacing w:val="-3"/>
          <w:sz w:val="20"/>
          <w:szCs w:val="20"/>
        </w:rPr>
        <w:tab/>
        <w:t xml:space="preserve">Iryna Prokhorov, CPA                                             </w:t>
      </w:r>
      <w:r w:rsidRPr="00CE74F8">
        <w:rPr>
          <w:spacing w:val="-3"/>
          <w:sz w:val="20"/>
          <w:szCs w:val="20"/>
        </w:rPr>
        <w:tab/>
        <w:t xml:space="preserve">Mueller &amp; Company, LLP  </w:t>
      </w:r>
      <w:r w:rsidRPr="00CE74F8">
        <w:rPr>
          <w:spacing w:val="-3"/>
          <w:sz w:val="20"/>
          <w:szCs w:val="20"/>
        </w:rPr>
        <w:br/>
      </w:r>
      <w:r w:rsidRPr="00CE74F8">
        <w:rPr>
          <w:snapToGrid w:val="0"/>
          <w:color w:val="000000"/>
          <w:sz w:val="20"/>
          <w:szCs w:val="20"/>
        </w:rPr>
        <w:t xml:space="preserve">    </w:t>
      </w:r>
      <w:r w:rsidRPr="00CE74F8">
        <w:rPr>
          <w:snapToGrid w:val="0"/>
          <w:color w:val="000000"/>
          <w:sz w:val="20"/>
          <w:szCs w:val="20"/>
        </w:rPr>
        <w:tab/>
        <w:t xml:space="preserve">Jeffery Watson, CPA </w:t>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bCs/>
          <w:sz w:val="20"/>
          <w:szCs w:val="20"/>
        </w:rPr>
        <w:t>Miller Cooper &amp; Company Ltd</w:t>
      </w:r>
      <w:r w:rsidRPr="00CE74F8">
        <w:rPr>
          <w:spacing w:val="-3"/>
          <w:sz w:val="20"/>
          <w:szCs w:val="20"/>
        </w:rPr>
        <w:br/>
      </w:r>
      <w:r w:rsidRPr="00CE74F8">
        <w:rPr>
          <w:b/>
          <w:spacing w:val="-3"/>
          <w:sz w:val="20"/>
          <w:szCs w:val="20"/>
        </w:rPr>
        <w:t xml:space="preserve">  Small: </w:t>
      </w:r>
      <w:r w:rsidRPr="00CE74F8">
        <w:rPr>
          <w:spacing w:val="-3"/>
          <w:sz w:val="20"/>
          <w:szCs w:val="20"/>
        </w:rPr>
        <w:t>(less than 40 professionals)</w:t>
      </w:r>
      <w:r w:rsidRPr="00CE74F8">
        <w:rPr>
          <w:spacing w:val="-3"/>
          <w:sz w:val="20"/>
          <w:szCs w:val="20"/>
        </w:rPr>
        <w:br/>
        <w:t xml:space="preserve">     </w:t>
      </w:r>
      <w:r w:rsidRPr="00CE74F8">
        <w:rPr>
          <w:spacing w:val="-3"/>
          <w:sz w:val="20"/>
          <w:szCs w:val="20"/>
        </w:rPr>
        <w:tab/>
        <w:t>Peggy Brady,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Selden Fox, Ltd.</w:t>
      </w:r>
      <w:r w:rsidRPr="00CE74F8">
        <w:rPr>
          <w:spacing w:val="-3"/>
          <w:sz w:val="20"/>
          <w:szCs w:val="20"/>
        </w:rPr>
        <w:br/>
        <w:t xml:space="preserve">     </w:t>
      </w:r>
      <w:r w:rsidRPr="00CE74F8">
        <w:rPr>
          <w:spacing w:val="-3"/>
          <w:sz w:val="20"/>
          <w:szCs w:val="20"/>
        </w:rPr>
        <w:tab/>
        <w:t>Brian Kot, CPA (Chair)</w:t>
      </w:r>
      <w:r w:rsidRPr="00CE74F8">
        <w:rPr>
          <w:spacing w:val="-3"/>
          <w:sz w:val="20"/>
          <w:szCs w:val="20"/>
        </w:rPr>
        <w:tab/>
      </w:r>
      <w:r w:rsidRPr="00CE74F8">
        <w:rPr>
          <w:spacing w:val="-3"/>
          <w:sz w:val="20"/>
          <w:szCs w:val="20"/>
        </w:rPr>
        <w:tab/>
      </w:r>
      <w:r w:rsidRPr="00CE74F8">
        <w:rPr>
          <w:spacing w:val="-3"/>
          <w:sz w:val="20"/>
          <w:szCs w:val="20"/>
        </w:rPr>
        <w:tab/>
        <w:t>Cray Kaiser Ltd CPAs</w:t>
      </w:r>
      <w:r w:rsidRPr="00CE74F8">
        <w:rPr>
          <w:spacing w:val="-3"/>
          <w:sz w:val="20"/>
          <w:szCs w:val="20"/>
        </w:rPr>
        <w:br/>
      </w:r>
      <w:r w:rsidRPr="00CE74F8">
        <w:rPr>
          <w:b/>
          <w:sz w:val="20"/>
          <w:szCs w:val="20"/>
        </w:rPr>
        <w:t>Educators:</w:t>
      </w:r>
    </w:p>
    <w:p w14:paraId="11F61D74" w14:textId="77777777" w:rsidR="00E25E8F" w:rsidRPr="00CE74F8" w:rsidRDefault="00E25E8F" w:rsidP="00E25E8F">
      <w:pPr>
        <w:pStyle w:val="NoSpacing"/>
        <w:tabs>
          <w:tab w:val="left" w:pos="360"/>
        </w:tabs>
        <w:rPr>
          <w:sz w:val="20"/>
          <w:szCs w:val="20"/>
        </w:rPr>
      </w:pPr>
      <w:r w:rsidRPr="00CE74F8">
        <w:rPr>
          <w:sz w:val="20"/>
          <w:szCs w:val="20"/>
        </w:rPr>
        <w:tab/>
        <w:t>John Hepp, CPA</w:t>
      </w:r>
      <w:r w:rsidRPr="00CE74F8">
        <w:rPr>
          <w:sz w:val="20"/>
          <w:szCs w:val="20"/>
        </w:rPr>
        <w:tab/>
      </w:r>
      <w:r w:rsidRPr="00CE74F8">
        <w:rPr>
          <w:sz w:val="20"/>
          <w:szCs w:val="20"/>
        </w:rPr>
        <w:tab/>
      </w:r>
      <w:r w:rsidRPr="00CE74F8">
        <w:rPr>
          <w:sz w:val="20"/>
          <w:szCs w:val="20"/>
        </w:rPr>
        <w:tab/>
      </w:r>
      <w:r w:rsidRPr="00CE74F8">
        <w:rPr>
          <w:sz w:val="20"/>
          <w:szCs w:val="20"/>
        </w:rPr>
        <w:tab/>
        <w:t>University of Illinois at Urbana-Champaign</w:t>
      </w:r>
      <w:r w:rsidRPr="00CE74F8">
        <w:rPr>
          <w:sz w:val="20"/>
          <w:szCs w:val="20"/>
        </w:rPr>
        <w:tab/>
      </w:r>
      <w:r w:rsidRPr="00CE74F8">
        <w:rPr>
          <w:sz w:val="20"/>
          <w:szCs w:val="20"/>
        </w:rPr>
        <w:tab/>
      </w:r>
    </w:p>
    <w:p w14:paraId="29D4B519" w14:textId="77777777" w:rsidR="00E25E8F" w:rsidRPr="00CE74F8" w:rsidRDefault="00E25E8F" w:rsidP="00E25E8F">
      <w:pPr>
        <w:pStyle w:val="NoSpacing"/>
        <w:rPr>
          <w:b/>
          <w:sz w:val="20"/>
          <w:szCs w:val="20"/>
        </w:rPr>
      </w:pPr>
      <w:r w:rsidRPr="00CE74F8">
        <w:rPr>
          <w:b/>
          <w:sz w:val="20"/>
          <w:szCs w:val="20"/>
        </w:rPr>
        <w:t>Industry:</w:t>
      </w:r>
    </w:p>
    <w:p w14:paraId="60343E45" w14:textId="77777777" w:rsidR="00E25E8F" w:rsidRPr="00CE74F8" w:rsidRDefault="00E25E8F" w:rsidP="00E25E8F">
      <w:pPr>
        <w:pStyle w:val="NoSpacing"/>
        <w:tabs>
          <w:tab w:val="left" w:pos="360"/>
        </w:tabs>
        <w:rPr>
          <w:sz w:val="20"/>
          <w:szCs w:val="20"/>
        </w:rPr>
      </w:pPr>
      <w:r w:rsidRPr="00CE74F8">
        <w:rPr>
          <w:sz w:val="20"/>
          <w:szCs w:val="20"/>
        </w:rPr>
        <w:tab/>
        <w:t xml:space="preserve">Jason Crider, CPA                                                </w:t>
      </w:r>
      <w:r w:rsidRPr="00CE74F8">
        <w:rPr>
          <w:sz w:val="20"/>
          <w:szCs w:val="20"/>
        </w:rPr>
        <w:tab/>
        <w:t>Molto Properties LLC</w:t>
      </w:r>
    </w:p>
    <w:p w14:paraId="4F45D420" w14:textId="77777777" w:rsidR="00E25E8F" w:rsidRPr="00CE74F8" w:rsidRDefault="00E25E8F" w:rsidP="00E25E8F">
      <w:pPr>
        <w:pStyle w:val="NoSpacing"/>
        <w:tabs>
          <w:tab w:val="left" w:pos="360"/>
        </w:tabs>
        <w:rPr>
          <w:sz w:val="20"/>
          <w:szCs w:val="20"/>
        </w:rPr>
      </w:pPr>
      <w:r w:rsidRPr="00CE74F8">
        <w:rPr>
          <w:sz w:val="20"/>
          <w:szCs w:val="20"/>
        </w:rPr>
        <w:t xml:space="preserve">       </w:t>
      </w:r>
      <w:r w:rsidRPr="00CE74F8">
        <w:rPr>
          <w:sz w:val="20"/>
          <w:szCs w:val="20"/>
        </w:rPr>
        <w:tab/>
        <w:t>Jeffrey Ellis, CPA</w:t>
      </w:r>
      <w:r w:rsidRPr="00CE74F8">
        <w:rPr>
          <w:sz w:val="20"/>
          <w:szCs w:val="20"/>
        </w:rPr>
        <w:tab/>
      </w:r>
      <w:r w:rsidRPr="00CE74F8">
        <w:rPr>
          <w:sz w:val="20"/>
          <w:szCs w:val="20"/>
        </w:rPr>
        <w:tab/>
      </w:r>
      <w:r w:rsidRPr="00CE74F8">
        <w:rPr>
          <w:sz w:val="20"/>
          <w:szCs w:val="20"/>
        </w:rPr>
        <w:tab/>
      </w:r>
      <w:r w:rsidRPr="00CE74F8">
        <w:rPr>
          <w:sz w:val="20"/>
          <w:szCs w:val="20"/>
        </w:rPr>
        <w:tab/>
        <w:t xml:space="preserve">FTI Consulting, Inc. </w:t>
      </w:r>
      <w:r w:rsidRPr="00CE74F8">
        <w:rPr>
          <w:sz w:val="20"/>
          <w:szCs w:val="20"/>
        </w:rPr>
        <w:tab/>
      </w:r>
    </w:p>
    <w:p w14:paraId="44E7C184" w14:textId="77777777" w:rsidR="00E25E8F" w:rsidRPr="00CE74F8" w:rsidRDefault="00E25E8F" w:rsidP="00E25E8F">
      <w:pPr>
        <w:pStyle w:val="NoSpacing"/>
        <w:tabs>
          <w:tab w:val="left" w:pos="360"/>
        </w:tabs>
        <w:rPr>
          <w:sz w:val="20"/>
          <w:szCs w:val="20"/>
          <w:lang w:val="fr-FR"/>
        </w:rPr>
      </w:pPr>
      <w:r w:rsidRPr="00CE74F8">
        <w:rPr>
          <w:sz w:val="20"/>
          <w:szCs w:val="20"/>
        </w:rPr>
        <w:tab/>
        <w:t xml:space="preserve">Adam Karac, CPA                                                 </w:t>
      </w:r>
      <w:r w:rsidRPr="00CE74F8">
        <w:rPr>
          <w:sz w:val="20"/>
          <w:szCs w:val="20"/>
        </w:rPr>
        <w:tab/>
      </w:r>
      <w:r w:rsidRPr="00B86C3F">
        <w:rPr>
          <w:spacing w:val="-3"/>
          <w:sz w:val="20"/>
          <w:szCs w:val="20"/>
        </w:rPr>
        <w:t>Baxter International Inc.</w:t>
      </w:r>
    </w:p>
    <w:p w14:paraId="09F7C264" w14:textId="77777777" w:rsidR="00E25E8F" w:rsidRDefault="00E25E8F" w:rsidP="00E25E8F">
      <w:pPr>
        <w:tabs>
          <w:tab w:val="left" w:pos="360"/>
        </w:tabs>
        <w:spacing w:after="0"/>
        <w:ind w:left="360"/>
        <w:rPr>
          <w:spacing w:val="-3"/>
          <w:sz w:val="20"/>
          <w:szCs w:val="20"/>
        </w:rPr>
      </w:pPr>
      <w:r w:rsidRPr="00CE74F8">
        <w:rPr>
          <w:spacing w:val="-3"/>
          <w:sz w:val="20"/>
          <w:szCs w:val="20"/>
        </w:rPr>
        <w:t>Michael Maffei,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t>GATX Corporation</w:t>
      </w:r>
    </w:p>
    <w:p w14:paraId="00E93D37" w14:textId="77777777" w:rsidR="00E25E8F" w:rsidRDefault="00E25E8F" w:rsidP="00E25E8F">
      <w:pPr>
        <w:tabs>
          <w:tab w:val="left" w:pos="360"/>
        </w:tabs>
        <w:spacing w:after="0"/>
        <w:ind w:left="360"/>
        <w:rPr>
          <w:spacing w:val="-3"/>
          <w:sz w:val="20"/>
          <w:szCs w:val="20"/>
        </w:rPr>
      </w:pPr>
      <w:r>
        <w:rPr>
          <w:spacing w:val="-3"/>
          <w:sz w:val="20"/>
          <w:szCs w:val="20"/>
        </w:rPr>
        <w:t xml:space="preserve">Lisa </w:t>
      </w:r>
      <w:proofErr w:type="spellStart"/>
      <w:r>
        <w:rPr>
          <w:spacing w:val="-3"/>
          <w:sz w:val="20"/>
          <w:szCs w:val="20"/>
        </w:rPr>
        <w:t>Sezonov</w:t>
      </w:r>
      <w:proofErr w:type="spellEnd"/>
      <w:r w:rsidRPr="00CE74F8">
        <w:rPr>
          <w:spacing w:val="-3"/>
          <w:sz w:val="20"/>
          <w:szCs w:val="20"/>
        </w:rPr>
        <w:t>,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r>
      <w:r>
        <w:rPr>
          <w:spacing w:val="-3"/>
          <w:sz w:val="20"/>
          <w:szCs w:val="20"/>
        </w:rPr>
        <w:t>Northern Trust</w:t>
      </w:r>
    </w:p>
    <w:p w14:paraId="0EDE1404" w14:textId="77777777" w:rsidR="00E25E8F" w:rsidRDefault="00E25E8F" w:rsidP="00E25E8F">
      <w:pPr>
        <w:tabs>
          <w:tab w:val="left" w:pos="360"/>
        </w:tabs>
        <w:spacing w:after="0"/>
        <w:ind w:left="360"/>
        <w:rPr>
          <w:spacing w:val="-3"/>
          <w:sz w:val="20"/>
          <w:szCs w:val="20"/>
        </w:rPr>
      </w:pPr>
      <w:r w:rsidRPr="00CE74F8">
        <w:rPr>
          <w:spacing w:val="-3"/>
          <w:sz w:val="20"/>
          <w:szCs w:val="20"/>
        </w:rPr>
        <w:t>Richard Tarapchak, CPA</w:t>
      </w:r>
      <w:r w:rsidRPr="00CE74F8">
        <w:rPr>
          <w:spacing w:val="-3"/>
          <w:sz w:val="20"/>
          <w:szCs w:val="20"/>
        </w:rPr>
        <w:tab/>
      </w:r>
      <w:r w:rsidRPr="00CE74F8">
        <w:rPr>
          <w:spacing w:val="-3"/>
          <w:sz w:val="20"/>
          <w:szCs w:val="20"/>
        </w:rPr>
        <w:tab/>
        <w:t xml:space="preserve">               Reynolds Group Holdings</w:t>
      </w:r>
    </w:p>
    <w:p w14:paraId="78B2974C" w14:textId="77777777" w:rsidR="00E25E8F" w:rsidRDefault="00E25E8F" w:rsidP="00E25E8F">
      <w:pPr>
        <w:tabs>
          <w:tab w:val="left" w:pos="360"/>
        </w:tabs>
        <w:spacing w:after="0"/>
        <w:ind w:left="360"/>
        <w:rPr>
          <w:spacing w:val="-3"/>
          <w:sz w:val="20"/>
          <w:szCs w:val="20"/>
        </w:rPr>
      </w:pPr>
      <w:r>
        <w:rPr>
          <w:spacing w:val="-3"/>
          <w:sz w:val="20"/>
          <w:szCs w:val="20"/>
        </w:rPr>
        <w:t>William Wang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MAT Holdings, Inc.</w:t>
      </w:r>
    </w:p>
    <w:p w14:paraId="76632CA3" w14:textId="77777777" w:rsidR="00E25E8F" w:rsidRDefault="00E25E8F" w:rsidP="00E25E8F">
      <w:pPr>
        <w:tabs>
          <w:tab w:val="left" w:pos="360"/>
        </w:tabs>
        <w:spacing w:after="0"/>
        <w:ind w:left="360"/>
        <w:rPr>
          <w:spacing w:val="-3"/>
          <w:sz w:val="20"/>
          <w:szCs w:val="20"/>
        </w:rPr>
      </w:pPr>
      <w:r>
        <w:rPr>
          <w:spacing w:val="-3"/>
          <w:sz w:val="20"/>
          <w:szCs w:val="20"/>
        </w:rPr>
        <w:t>Daniel Wilfong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Sunset Transportation, Inc.</w:t>
      </w:r>
    </w:p>
    <w:p w14:paraId="55B472B5" w14:textId="77777777" w:rsidR="00E25E8F" w:rsidRDefault="00E25E8F" w:rsidP="00E25E8F">
      <w:pPr>
        <w:tabs>
          <w:tab w:val="left" w:pos="360"/>
          <w:tab w:val="left" w:pos="4230"/>
        </w:tabs>
        <w:spacing w:after="0"/>
        <w:rPr>
          <w:b/>
          <w:sz w:val="20"/>
          <w:szCs w:val="20"/>
        </w:rPr>
      </w:pPr>
    </w:p>
    <w:p w14:paraId="041B77D1" w14:textId="1309EBBF" w:rsidR="000342DA" w:rsidRPr="00B36A5E" w:rsidRDefault="00E25E8F" w:rsidP="00E25E8F">
      <w:pPr>
        <w:tabs>
          <w:tab w:val="left" w:pos="360"/>
          <w:tab w:val="left" w:pos="4230"/>
        </w:tabs>
        <w:spacing w:after="0"/>
      </w:pPr>
      <w:r w:rsidRPr="00CE74F8">
        <w:rPr>
          <w:b/>
          <w:sz w:val="20"/>
          <w:szCs w:val="20"/>
        </w:rPr>
        <w:t>Staff Representative:</w:t>
      </w:r>
      <w:r w:rsidRPr="00CE74F8">
        <w:rPr>
          <w:sz w:val="20"/>
          <w:szCs w:val="20"/>
        </w:rPr>
        <w:t xml:space="preserve"> Rafael Wiesenberg, CPA</w:t>
      </w:r>
      <w:r w:rsidRPr="00CE74F8">
        <w:rPr>
          <w:sz w:val="20"/>
          <w:szCs w:val="20"/>
        </w:rPr>
        <w:tab/>
      </w:r>
      <w:r w:rsidRPr="00CE74F8">
        <w:rPr>
          <w:sz w:val="20"/>
          <w:szCs w:val="20"/>
        </w:rPr>
        <w:tab/>
        <w:t>Illinois CPA Society</w:t>
      </w:r>
      <w:r w:rsidRPr="00431A64">
        <w:rPr>
          <w:sz w:val="20"/>
          <w:szCs w:val="20"/>
        </w:rPr>
        <w:t xml:space="preserve">     </w:t>
      </w:r>
      <w:r>
        <w:rPr>
          <w:sz w:val="20"/>
          <w:szCs w:val="20"/>
        </w:rPr>
        <w:tab/>
      </w:r>
    </w:p>
    <w:sectPr w:rsidR="000342DA" w:rsidRPr="00B36A5E" w:rsidSect="000C1399">
      <w:headerReference w:type="first" r:id="rId13"/>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2888" w14:textId="77777777" w:rsidR="00D34CD4" w:rsidRDefault="00D34CD4" w:rsidP="00C07D21">
      <w:pPr>
        <w:spacing w:after="0" w:line="240" w:lineRule="auto"/>
      </w:pPr>
      <w:r>
        <w:separator/>
      </w:r>
    </w:p>
  </w:endnote>
  <w:endnote w:type="continuationSeparator" w:id="0">
    <w:p w14:paraId="4C86DDA0" w14:textId="77777777" w:rsidR="00D34CD4" w:rsidRDefault="00D34CD4"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293793"/>
      <w:docPartObj>
        <w:docPartGallery w:val="Page Numbers (Bottom of Page)"/>
        <w:docPartUnique/>
      </w:docPartObj>
    </w:sdtPr>
    <w:sdtEndPr>
      <w:rPr>
        <w:noProof/>
      </w:rPr>
    </w:sdtEndPr>
    <w:sdtContent>
      <w:p w14:paraId="056F93FC" w14:textId="4935CCA3" w:rsidR="003A70CB" w:rsidRDefault="003A70CB">
        <w:pPr>
          <w:pStyle w:val="Footer"/>
          <w:jc w:val="center"/>
        </w:pPr>
        <w:r>
          <w:fldChar w:fldCharType="begin"/>
        </w:r>
        <w:r>
          <w:instrText xml:space="preserve"> PAGE   \* MERGEFORMAT </w:instrText>
        </w:r>
        <w:r>
          <w:fldChar w:fldCharType="separate"/>
        </w:r>
        <w:r w:rsidR="00AA41D7">
          <w:rPr>
            <w:noProof/>
          </w:rPr>
          <w:t>2</w:t>
        </w:r>
        <w:r>
          <w:rPr>
            <w:noProof/>
          </w:rPr>
          <w:fldChar w:fldCharType="end"/>
        </w:r>
      </w:p>
    </w:sdtContent>
  </w:sdt>
  <w:p w14:paraId="460A7FDB" w14:textId="77777777" w:rsidR="003A70CB" w:rsidRDefault="003A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EC7DF" w14:textId="77777777" w:rsidR="00D34CD4" w:rsidRDefault="00D34CD4" w:rsidP="00C07D21">
      <w:pPr>
        <w:spacing w:after="0" w:line="240" w:lineRule="auto"/>
      </w:pPr>
      <w:r>
        <w:separator/>
      </w:r>
    </w:p>
  </w:footnote>
  <w:footnote w:type="continuationSeparator" w:id="0">
    <w:p w14:paraId="10AA6460" w14:textId="77777777" w:rsidR="00D34CD4" w:rsidRDefault="00D34CD4" w:rsidP="00C07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6495" w14:textId="77777777" w:rsidR="003A70CB" w:rsidRDefault="003A70CB" w:rsidP="006429B1">
    <w:pPr>
      <w:pStyle w:val="Header"/>
      <w:jc w:val="center"/>
    </w:pPr>
    <w:r>
      <w:rPr>
        <w:noProof/>
      </w:rPr>
      <w:drawing>
        <wp:inline distT="0" distB="0" distL="0" distR="0" wp14:anchorId="2C7015DB" wp14:editId="6303408F">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6F7C" w14:textId="5BA94C95" w:rsidR="003A70CB" w:rsidRDefault="003A70CB" w:rsidP="006429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7"/>
  </w:num>
  <w:num w:numId="6">
    <w:abstractNumId w:val="1"/>
  </w:num>
  <w:num w:numId="7">
    <w:abstractNumId w:val="6"/>
  </w:num>
  <w:num w:numId="8">
    <w:abstractNumId w:val="4"/>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6" w:nlCheck="1" w:checkStyle="1"/>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E1"/>
    <w:rsid w:val="00002C0D"/>
    <w:rsid w:val="0000540A"/>
    <w:rsid w:val="00006FBB"/>
    <w:rsid w:val="00007C01"/>
    <w:rsid w:val="000142EA"/>
    <w:rsid w:val="00015F5C"/>
    <w:rsid w:val="000165D5"/>
    <w:rsid w:val="0002366D"/>
    <w:rsid w:val="00033CA4"/>
    <w:rsid w:val="000342DA"/>
    <w:rsid w:val="000357B3"/>
    <w:rsid w:val="00036742"/>
    <w:rsid w:val="000369D7"/>
    <w:rsid w:val="000425EA"/>
    <w:rsid w:val="00042A30"/>
    <w:rsid w:val="00050D70"/>
    <w:rsid w:val="00052BC9"/>
    <w:rsid w:val="00060B2D"/>
    <w:rsid w:val="000669A0"/>
    <w:rsid w:val="00070727"/>
    <w:rsid w:val="00073542"/>
    <w:rsid w:val="00076F8E"/>
    <w:rsid w:val="00082A58"/>
    <w:rsid w:val="00085888"/>
    <w:rsid w:val="0008684A"/>
    <w:rsid w:val="0009050E"/>
    <w:rsid w:val="000914BA"/>
    <w:rsid w:val="000933FE"/>
    <w:rsid w:val="000A093C"/>
    <w:rsid w:val="000A20B1"/>
    <w:rsid w:val="000A3C0A"/>
    <w:rsid w:val="000A3DC7"/>
    <w:rsid w:val="000A3FA9"/>
    <w:rsid w:val="000A44F0"/>
    <w:rsid w:val="000A6B72"/>
    <w:rsid w:val="000B4451"/>
    <w:rsid w:val="000C1399"/>
    <w:rsid w:val="000C3AD7"/>
    <w:rsid w:val="000D2287"/>
    <w:rsid w:val="000D2962"/>
    <w:rsid w:val="000D3D94"/>
    <w:rsid w:val="000D47BE"/>
    <w:rsid w:val="000D4CFC"/>
    <w:rsid w:val="000E3CD4"/>
    <w:rsid w:val="000E55EB"/>
    <w:rsid w:val="000E65DB"/>
    <w:rsid w:val="000E6AA7"/>
    <w:rsid w:val="00107FEC"/>
    <w:rsid w:val="00112C4E"/>
    <w:rsid w:val="0011453E"/>
    <w:rsid w:val="00116708"/>
    <w:rsid w:val="0011726D"/>
    <w:rsid w:val="00117E71"/>
    <w:rsid w:val="00120B3D"/>
    <w:rsid w:val="00122BBC"/>
    <w:rsid w:val="00125EDD"/>
    <w:rsid w:val="00126E1C"/>
    <w:rsid w:val="00131331"/>
    <w:rsid w:val="0013468E"/>
    <w:rsid w:val="001373FD"/>
    <w:rsid w:val="001410ED"/>
    <w:rsid w:val="00145DFF"/>
    <w:rsid w:val="001476D6"/>
    <w:rsid w:val="00152D26"/>
    <w:rsid w:val="00152F12"/>
    <w:rsid w:val="00160608"/>
    <w:rsid w:val="00160853"/>
    <w:rsid w:val="00165D4E"/>
    <w:rsid w:val="0016670E"/>
    <w:rsid w:val="001674EA"/>
    <w:rsid w:val="00167E03"/>
    <w:rsid w:val="00171283"/>
    <w:rsid w:val="00171936"/>
    <w:rsid w:val="00174285"/>
    <w:rsid w:val="00176186"/>
    <w:rsid w:val="001832B0"/>
    <w:rsid w:val="001860C0"/>
    <w:rsid w:val="00186D38"/>
    <w:rsid w:val="001932CA"/>
    <w:rsid w:val="00194472"/>
    <w:rsid w:val="00195E10"/>
    <w:rsid w:val="001A49DB"/>
    <w:rsid w:val="001A791C"/>
    <w:rsid w:val="001B0429"/>
    <w:rsid w:val="001B105C"/>
    <w:rsid w:val="001B1CF8"/>
    <w:rsid w:val="001C4781"/>
    <w:rsid w:val="001C6257"/>
    <w:rsid w:val="001D009B"/>
    <w:rsid w:val="001D229D"/>
    <w:rsid w:val="001D3215"/>
    <w:rsid w:val="001D79D0"/>
    <w:rsid w:val="001D79EE"/>
    <w:rsid w:val="001E1823"/>
    <w:rsid w:val="001E7CBF"/>
    <w:rsid w:val="00205CF6"/>
    <w:rsid w:val="00213866"/>
    <w:rsid w:val="00214696"/>
    <w:rsid w:val="00216DA8"/>
    <w:rsid w:val="00217C14"/>
    <w:rsid w:val="00227C4F"/>
    <w:rsid w:val="00230273"/>
    <w:rsid w:val="00234EB5"/>
    <w:rsid w:val="002377DA"/>
    <w:rsid w:val="0024269F"/>
    <w:rsid w:val="002437EC"/>
    <w:rsid w:val="00246E3D"/>
    <w:rsid w:val="002537CF"/>
    <w:rsid w:val="00254FFE"/>
    <w:rsid w:val="0026355B"/>
    <w:rsid w:val="00265659"/>
    <w:rsid w:val="00265C19"/>
    <w:rsid w:val="00267ACA"/>
    <w:rsid w:val="00270D5D"/>
    <w:rsid w:val="002825B4"/>
    <w:rsid w:val="002853F7"/>
    <w:rsid w:val="00285F1C"/>
    <w:rsid w:val="00291411"/>
    <w:rsid w:val="00291510"/>
    <w:rsid w:val="00292017"/>
    <w:rsid w:val="00294DC8"/>
    <w:rsid w:val="00294F5A"/>
    <w:rsid w:val="00296D5A"/>
    <w:rsid w:val="002A0322"/>
    <w:rsid w:val="002A0976"/>
    <w:rsid w:val="002A57B5"/>
    <w:rsid w:val="002A6821"/>
    <w:rsid w:val="002A7DE1"/>
    <w:rsid w:val="002B3F2F"/>
    <w:rsid w:val="002B52C0"/>
    <w:rsid w:val="002C0FD7"/>
    <w:rsid w:val="002C1FB8"/>
    <w:rsid w:val="002C4712"/>
    <w:rsid w:val="002C4993"/>
    <w:rsid w:val="002C690C"/>
    <w:rsid w:val="002D68C1"/>
    <w:rsid w:val="002D74CA"/>
    <w:rsid w:val="002D7F15"/>
    <w:rsid w:val="002E285D"/>
    <w:rsid w:val="002F234D"/>
    <w:rsid w:val="002F57E5"/>
    <w:rsid w:val="002F640C"/>
    <w:rsid w:val="002F69AD"/>
    <w:rsid w:val="00303160"/>
    <w:rsid w:val="00303381"/>
    <w:rsid w:val="003033B8"/>
    <w:rsid w:val="003065C7"/>
    <w:rsid w:val="003144A1"/>
    <w:rsid w:val="00315FBB"/>
    <w:rsid w:val="00316CB2"/>
    <w:rsid w:val="00320473"/>
    <w:rsid w:val="00321BBD"/>
    <w:rsid w:val="00331EEB"/>
    <w:rsid w:val="00337B8E"/>
    <w:rsid w:val="00341352"/>
    <w:rsid w:val="00341D0A"/>
    <w:rsid w:val="00344E59"/>
    <w:rsid w:val="00347085"/>
    <w:rsid w:val="00347677"/>
    <w:rsid w:val="00347B8D"/>
    <w:rsid w:val="0035106E"/>
    <w:rsid w:val="00353096"/>
    <w:rsid w:val="00353E39"/>
    <w:rsid w:val="003543C5"/>
    <w:rsid w:val="00355163"/>
    <w:rsid w:val="00357C92"/>
    <w:rsid w:val="00371E04"/>
    <w:rsid w:val="00376379"/>
    <w:rsid w:val="00377B7B"/>
    <w:rsid w:val="00380A7A"/>
    <w:rsid w:val="003814B4"/>
    <w:rsid w:val="00383D03"/>
    <w:rsid w:val="0039097F"/>
    <w:rsid w:val="00392C39"/>
    <w:rsid w:val="00392D06"/>
    <w:rsid w:val="0039689F"/>
    <w:rsid w:val="003A0467"/>
    <w:rsid w:val="003A2393"/>
    <w:rsid w:val="003A53E2"/>
    <w:rsid w:val="003A70CB"/>
    <w:rsid w:val="003A7E3A"/>
    <w:rsid w:val="003C0300"/>
    <w:rsid w:val="003C44CA"/>
    <w:rsid w:val="003C568A"/>
    <w:rsid w:val="003C613C"/>
    <w:rsid w:val="003C774E"/>
    <w:rsid w:val="003C7BD9"/>
    <w:rsid w:val="003D2B85"/>
    <w:rsid w:val="003D4BFC"/>
    <w:rsid w:val="003F17CA"/>
    <w:rsid w:val="003F2057"/>
    <w:rsid w:val="003F2DB1"/>
    <w:rsid w:val="003F3CCF"/>
    <w:rsid w:val="003F63B5"/>
    <w:rsid w:val="004007E7"/>
    <w:rsid w:val="00403D79"/>
    <w:rsid w:val="00407C2F"/>
    <w:rsid w:val="00415EC8"/>
    <w:rsid w:val="0041714B"/>
    <w:rsid w:val="004218FF"/>
    <w:rsid w:val="0043764D"/>
    <w:rsid w:val="004379BF"/>
    <w:rsid w:val="00437DC4"/>
    <w:rsid w:val="00443E9E"/>
    <w:rsid w:val="00452EDD"/>
    <w:rsid w:val="00455314"/>
    <w:rsid w:val="00455A3C"/>
    <w:rsid w:val="00456248"/>
    <w:rsid w:val="00456BED"/>
    <w:rsid w:val="0046173A"/>
    <w:rsid w:val="00462E82"/>
    <w:rsid w:val="004653E5"/>
    <w:rsid w:val="00472B0C"/>
    <w:rsid w:val="00473B4A"/>
    <w:rsid w:val="00476BC9"/>
    <w:rsid w:val="00482C0E"/>
    <w:rsid w:val="00483CC0"/>
    <w:rsid w:val="004843CB"/>
    <w:rsid w:val="004857F4"/>
    <w:rsid w:val="004878C9"/>
    <w:rsid w:val="004952E0"/>
    <w:rsid w:val="004A2D3A"/>
    <w:rsid w:val="004B24F6"/>
    <w:rsid w:val="004B52D3"/>
    <w:rsid w:val="004C1444"/>
    <w:rsid w:val="004C1A16"/>
    <w:rsid w:val="004C2DCA"/>
    <w:rsid w:val="004C3681"/>
    <w:rsid w:val="004C7C02"/>
    <w:rsid w:val="004D0B2F"/>
    <w:rsid w:val="004D1C90"/>
    <w:rsid w:val="004D587C"/>
    <w:rsid w:val="004D6862"/>
    <w:rsid w:val="004D7F3E"/>
    <w:rsid w:val="004E2126"/>
    <w:rsid w:val="004E2E28"/>
    <w:rsid w:val="004E4BAA"/>
    <w:rsid w:val="004E7B18"/>
    <w:rsid w:val="00502217"/>
    <w:rsid w:val="00502471"/>
    <w:rsid w:val="00512916"/>
    <w:rsid w:val="00515C4D"/>
    <w:rsid w:val="00517FA2"/>
    <w:rsid w:val="005214F0"/>
    <w:rsid w:val="005226CD"/>
    <w:rsid w:val="005229F1"/>
    <w:rsid w:val="00522CA3"/>
    <w:rsid w:val="00523330"/>
    <w:rsid w:val="005251D7"/>
    <w:rsid w:val="00526D3A"/>
    <w:rsid w:val="00544865"/>
    <w:rsid w:val="00553D03"/>
    <w:rsid w:val="00554979"/>
    <w:rsid w:val="00556943"/>
    <w:rsid w:val="00563B1F"/>
    <w:rsid w:val="00565C7C"/>
    <w:rsid w:val="00572D60"/>
    <w:rsid w:val="00572F95"/>
    <w:rsid w:val="0057628A"/>
    <w:rsid w:val="0058019E"/>
    <w:rsid w:val="00582667"/>
    <w:rsid w:val="00590E71"/>
    <w:rsid w:val="00593157"/>
    <w:rsid w:val="0059365D"/>
    <w:rsid w:val="00594184"/>
    <w:rsid w:val="00594BD8"/>
    <w:rsid w:val="005969E2"/>
    <w:rsid w:val="005A168C"/>
    <w:rsid w:val="005B06BF"/>
    <w:rsid w:val="005B2447"/>
    <w:rsid w:val="005B5BDF"/>
    <w:rsid w:val="005B695E"/>
    <w:rsid w:val="005C148C"/>
    <w:rsid w:val="005C2DB4"/>
    <w:rsid w:val="005C74AA"/>
    <w:rsid w:val="005D0E47"/>
    <w:rsid w:val="005D1F31"/>
    <w:rsid w:val="005D3892"/>
    <w:rsid w:val="005D6CBB"/>
    <w:rsid w:val="005D78C5"/>
    <w:rsid w:val="005D7AD3"/>
    <w:rsid w:val="005E0C54"/>
    <w:rsid w:val="005E2667"/>
    <w:rsid w:val="005F3210"/>
    <w:rsid w:val="005F434F"/>
    <w:rsid w:val="00600552"/>
    <w:rsid w:val="006063A7"/>
    <w:rsid w:val="00607BE2"/>
    <w:rsid w:val="006107EA"/>
    <w:rsid w:val="00615D84"/>
    <w:rsid w:val="00621795"/>
    <w:rsid w:val="00623199"/>
    <w:rsid w:val="00623CDA"/>
    <w:rsid w:val="00633DD6"/>
    <w:rsid w:val="00635FA1"/>
    <w:rsid w:val="006429B1"/>
    <w:rsid w:val="006466A3"/>
    <w:rsid w:val="006534C8"/>
    <w:rsid w:val="00656D0E"/>
    <w:rsid w:val="00660DD9"/>
    <w:rsid w:val="00660FAA"/>
    <w:rsid w:val="00671140"/>
    <w:rsid w:val="00677BD2"/>
    <w:rsid w:val="00682D9C"/>
    <w:rsid w:val="00684637"/>
    <w:rsid w:val="00686600"/>
    <w:rsid w:val="00695769"/>
    <w:rsid w:val="0069581C"/>
    <w:rsid w:val="00696B96"/>
    <w:rsid w:val="006A1311"/>
    <w:rsid w:val="006A5EB9"/>
    <w:rsid w:val="006B0335"/>
    <w:rsid w:val="006B63FE"/>
    <w:rsid w:val="006B6654"/>
    <w:rsid w:val="006D4657"/>
    <w:rsid w:val="006D7FE5"/>
    <w:rsid w:val="006E04FA"/>
    <w:rsid w:val="006E7763"/>
    <w:rsid w:val="006F1EF9"/>
    <w:rsid w:val="006F4236"/>
    <w:rsid w:val="006F5863"/>
    <w:rsid w:val="00705AB5"/>
    <w:rsid w:val="00705E17"/>
    <w:rsid w:val="00712B14"/>
    <w:rsid w:val="00714F6A"/>
    <w:rsid w:val="00723E93"/>
    <w:rsid w:val="00724C0A"/>
    <w:rsid w:val="007264C5"/>
    <w:rsid w:val="0072685C"/>
    <w:rsid w:val="00726BD8"/>
    <w:rsid w:val="007368CD"/>
    <w:rsid w:val="00740297"/>
    <w:rsid w:val="00744B59"/>
    <w:rsid w:val="00751A61"/>
    <w:rsid w:val="00753A96"/>
    <w:rsid w:val="0076105E"/>
    <w:rsid w:val="007615EB"/>
    <w:rsid w:val="00770880"/>
    <w:rsid w:val="007718DC"/>
    <w:rsid w:val="00771C0D"/>
    <w:rsid w:val="00772526"/>
    <w:rsid w:val="00773E11"/>
    <w:rsid w:val="00774EE9"/>
    <w:rsid w:val="007751A7"/>
    <w:rsid w:val="00775707"/>
    <w:rsid w:val="0077651D"/>
    <w:rsid w:val="0078296B"/>
    <w:rsid w:val="00783CD4"/>
    <w:rsid w:val="00792D30"/>
    <w:rsid w:val="00795625"/>
    <w:rsid w:val="00796D94"/>
    <w:rsid w:val="007B3768"/>
    <w:rsid w:val="007B669A"/>
    <w:rsid w:val="007C2442"/>
    <w:rsid w:val="007C532D"/>
    <w:rsid w:val="007D7145"/>
    <w:rsid w:val="007E089F"/>
    <w:rsid w:val="007E3EA5"/>
    <w:rsid w:val="007E743F"/>
    <w:rsid w:val="007F085C"/>
    <w:rsid w:val="007F179E"/>
    <w:rsid w:val="007F66DC"/>
    <w:rsid w:val="007F71ED"/>
    <w:rsid w:val="00800A06"/>
    <w:rsid w:val="008023E1"/>
    <w:rsid w:val="0081098D"/>
    <w:rsid w:val="008165E6"/>
    <w:rsid w:val="008177D6"/>
    <w:rsid w:val="008275E1"/>
    <w:rsid w:val="008310B9"/>
    <w:rsid w:val="00837848"/>
    <w:rsid w:val="00842A13"/>
    <w:rsid w:val="008501D1"/>
    <w:rsid w:val="00855F73"/>
    <w:rsid w:val="00856E14"/>
    <w:rsid w:val="00867AD3"/>
    <w:rsid w:val="008727CA"/>
    <w:rsid w:val="00874581"/>
    <w:rsid w:val="00875639"/>
    <w:rsid w:val="00875915"/>
    <w:rsid w:val="00876585"/>
    <w:rsid w:val="00876F8E"/>
    <w:rsid w:val="00884C26"/>
    <w:rsid w:val="00890128"/>
    <w:rsid w:val="00892EC6"/>
    <w:rsid w:val="008930BA"/>
    <w:rsid w:val="008A185B"/>
    <w:rsid w:val="008A2CCE"/>
    <w:rsid w:val="008A4429"/>
    <w:rsid w:val="008A50C5"/>
    <w:rsid w:val="008A791F"/>
    <w:rsid w:val="008A7A30"/>
    <w:rsid w:val="008B139C"/>
    <w:rsid w:val="008B4D87"/>
    <w:rsid w:val="008B5CDC"/>
    <w:rsid w:val="008B5F91"/>
    <w:rsid w:val="008B6B1F"/>
    <w:rsid w:val="008C0171"/>
    <w:rsid w:val="008C0283"/>
    <w:rsid w:val="008C6566"/>
    <w:rsid w:val="008C6A43"/>
    <w:rsid w:val="008C7470"/>
    <w:rsid w:val="008D14B3"/>
    <w:rsid w:val="008D3986"/>
    <w:rsid w:val="008D6906"/>
    <w:rsid w:val="008E05F5"/>
    <w:rsid w:val="008E5DC1"/>
    <w:rsid w:val="008F1D9E"/>
    <w:rsid w:val="008F22C6"/>
    <w:rsid w:val="00900AB6"/>
    <w:rsid w:val="00903C60"/>
    <w:rsid w:val="00904D93"/>
    <w:rsid w:val="00913F17"/>
    <w:rsid w:val="009140A0"/>
    <w:rsid w:val="0092153D"/>
    <w:rsid w:val="009215EE"/>
    <w:rsid w:val="00924523"/>
    <w:rsid w:val="00934239"/>
    <w:rsid w:val="009473D4"/>
    <w:rsid w:val="00951C77"/>
    <w:rsid w:val="00951EDF"/>
    <w:rsid w:val="00952FDF"/>
    <w:rsid w:val="009538E7"/>
    <w:rsid w:val="0095466A"/>
    <w:rsid w:val="00956256"/>
    <w:rsid w:val="00957E87"/>
    <w:rsid w:val="009601E2"/>
    <w:rsid w:val="009645ED"/>
    <w:rsid w:val="00966AF7"/>
    <w:rsid w:val="00971141"/>
    <w:rsid w:val="0097339A"/>
    <w:rsid w:val="0098264F"/>
    <w:rsid w:val="00983052"/>
    <w:rsid w:val="009848C2"/>
    <w:rsid w:val="00985946"/>
    <w:rsid w:val="00986DB0"/>
    <w:rsid w:val="00990712"/>
    <w:rsid w:val="00990817"/>
    <w:rsid w:val="00994011"/>
    <w:rsid w:val="00995422"/>
    <w:rsid w:val="009B1BFB"/>
    <w:rsid w:val="009B2CF8"/>
    <w:rsid w:val="009B660D"/>
    <w:rsid w:val="009B6AC7"/>
    <w:rsid w:val="009B6D9F"/>
    <w:rsid w:val="009C3023"/>
    <w:rsid w:val="009C312C"/>
    <w:rsid w:val="009C59A8"/>
    <w:rsid w:val="009C69E9"/>
    <w:rsid w:val="009C73F9"/>
    <w:rsid w:val="009D1524"/>
    <w:rsid w:val="009D7CBA"/>
    <w:rsid w:val="009E2243"/>
    <w:rsid w:val="009E263F"/>
    <w:rsid w:val="009F24C6"/>
    <w:rsid w:val="009F40B0"/>
    <w:rsid w:val="009F594A"/>
    <w:rsid w:val="00A0211C"/>
    <w:rsid w:val="00A0478B"/>
    <w:rsid w:val="00A0650E"/>
    <w:rsid w:val="00A06707"/>
    <w:rsid w:val="00A07539"/>
    <w:rsid w:val="00A13609"/>
    <w:rsid w:val="00A147F9"/>
    <w:rsid w:val="00A222C8"/>
    <w:rsid w:val="00A22B0B"/>
    <w:rsid w:val="00A2597D"/>
    <w:rsid w:val="00A2770F"/>
    <w:rsid w:val="00A279D3"/>
    <w:rsid w:val="00A43643"/>
    <w:rsid w:val="00A501A7"/>
    <w:rsid w:val="00A51967"/>
    <w:rsid w:val="00A5795B"/>
    <w:rsid w:val="00A600AE"/>
    <w:rsid w:val="00A61EF8"/>
    <w:rsid w:val="00A65FE7"/>
    <w:rsid w:val="00A67DA6"/>
    <w:rsid w:val="00A70655"/>
    <w:rsid w:val="00A738BE"/>
    <w:rsid w:val="00A757C6"/>
    <w:rsid w:val="00A778A2"/>
    <w:rsid w:val="00A82D39"/>
    <w:rsid w:val="00A919C6"/>
    <w:rsid w:val="00A9382B"/>
    <w:rsid w:val="00A93CE4"/>
    <w:rsid w:val="00A94D81"/>
    <w:rsid w:val="00AA1ED3"/>
    <w:rsid w:val="00AA1F3F"/>
    <w:rsid w:val="00AA41D7"/>
    <w:rsid w:val="00AB0D35"/>
    <w:rsid w:val="00AB23C4"/>
    <w:rsid w:val="00AB2BDE"/>
    <w:rsid w:val="00AB3D17"/>
    <w:rsid w:val="00AC0038"/>
    <w:rsid w:val="00AC089B"/>
    <w:rsid w:val="00AC15BE"/>
    <w:rsid w:val="00AC4F4B"/>
    <w:rsid w:val="00AC6BBF"/>
    <w:rsid w:val="00AC7E85"/>
    <w:rsid w:val="00AD27F4"/>
    <w:rsid w:val="00AD359F"/>
    <w:rsid w:val="00AD3E92"/>
    <w:rsid w:val="00AE1A72"/>
    <w:rsid w:val="00AE701F"/>
    <w:rsid w:val="00AF45C5"/>
    <w:rsid w:val="00AF7416"/>
    <w:rsid w:val="00B0044E"/>
    <w:rsid w:val="00B10704"/>
    <w:rsid w:val="00B12115"/>
    <w:rsid w:val="00B13ADC"/>
    <w:rsid w:val="00B1430F"/>
    <w:rsid w:val="00B2433B"/>
    <w:rsid w:val="00B2606C"/>
    <w:rsid w:val="00B33625"/>
    <w:rsid w:val="00B44B7E"/>
    <w:rsid w:val="00B45AD5"/>
    <w:rsid w:val="00B523E9"/>
    <w:rsid w:val="00B57DDA"/>
    <w:rsid w:val="00B61C2B"/>
    <w:rsid w:val="00B669C5"/>
    <w:rsid w:val="00B705BE"/>
    <w:rsid w:val="00B85463"/>
    <w:rsid w:val="00B873A6"/>
    <w:rsid w:val="00B87F40"/>
    <w:rsid w:val="00B91204"/>
    <w:rsid w:val="00B917EE"/>
    <w:rsid w:val="00B94FCE"/>
    <w:rsid w:val="00BA05C8"/>
    <w:rsid w:val="00BA2D12"/>
    <w:rsid w:val="00BA2F54"/>
    <w:rsid w:val="00BA3BFF"/>
    <w:rsid w:val="00BA4690"/>
    <w:rsid w:val="00BB2CA4"/>
    <w:rsid w:val="00BB41E4"/>
    <w:rsid w:val="00BB53A1"/>
    <w:rsid w:val="00BB6ACE"/>
    <w:rsid w:val="00BB6BCB"/>
    <w:rsid w:val="00BB6C4C"/>
    <w:rsid w:val="00BB78D9"/>
    <w:rsid w:val="00BC162E"/>
    <w:rsid w:val="00BC1850"/>
    <w:rsid w:val="00BC276F"/>
    <w:rsid w:val="00BC32E7"/>
    <w:rsid w:val="00BC3E2D"/>
    <w:rsid w:val="00BC667B"/>
    <w:rsid w:val="00BC78D5"/>
    <w:rsid w:val="00BE21F8"/>
    <w:rsid w:val="00BE4AD4"/>
    <w:rsid w:val="00BE64FA"/>
    <w:rsid w:val="00BF0179"/>
    <w:rsid w:val="00BF1792"/>
    <w:rsid w:val="00BF1CE5"/>
    <w:rsid w:val="00C034F1"/>
    <w:rsid w:val="00C03FBA"/>
    <w:rsid w:val="00C07D21"/>
    <w:rsid w:val="00C11D6A"/>
    <w:rsid w:val="00C137C4"/>
    <w:rsid w:val="00C17708"/>
    <w:rsid w:val="00C22334"/>
    <w:rsid w:val="00C2233B"/>
    <w:rsid w:val="00C26C07"/>
    <w:rsid w:val="00C3297F"/>
    <w:rsid w:val="00C35C9A"/>
    <w:rsid w:val="00C3656C"/>
    <w:rsid w:val="00C36E73"/>
    <w:rsid w:val="00C37049"/>
    <w:rsid w:val="00C45C27"/>
    <w:rsid w:val="00C5619A"/>
    <w:rsid w:val="00C6020D"/>
    <w:rsid w:val="00C60DB6"/>
    <w:rsid w:val="00C673C8"/>
    <w:rsid w:val="00C67D90"/>
    <w:rsid w:val="00C76EC5"/>
    <w:rsid w:val="00C7731D"/>
    <w:rsid w:val="00C82B4C"/>
    <w:rsid w:val="00C859FB"/>
    <w:rsid w:val="00C90EFC"/>
    <w:rsid w:val="00C92E8E"/>
    <w:rsid w:val="00CA36BC"/>
    <w:rsid w:val="00CA4AF7"/>
    <w:rsid w:val="00CB0DE8"/>
    <w:rsid w:val="00CB7CEE"/>
    <w:rsid w:val="00CB7E8D"/>
    <w:rsid w:val="00CC1139"/>
    <w:rsid w:val="00CC2998"/>
    <w:rsid w:val="00CD1710"/>
    <w:rsid w:val="00CD281E"/>
    <w:rsid w:val="00CD798D"/>
    <w:rsid w:val="00CE1025"/>
    <w:rsid w:val="00CE3122"/>
    <w:rsid w:val="00CF0AA5"/>
    <w:rsid w:val="00CF1569"/>
    <w:rsid w:val="00D17B17"/>
    <w:rsid w:val="00D30696"/>
    <w:rsid w:val="00D34CD4"/>
    <w:rsid w:val="00D35C07"/>
    <w:rsid w:val="00D416E9"/>
    <w:rsid w:val="00D43CA0"/>
    <w:rsid w:val="00D453B1"/>
    <w:rsid w:val="00D46214"/>
    <w:rsid w:val="00D53CE5"/>
    <w:rsid w:val="00D53DE6"/>
    <w:rsid w:val="00D54FED"/>
    <w:rsid w:val="00D62BFB"/>
    <w:rsid w:val="00D6721D"/>
    <w:rsid w:val="00D67BFE"/>
    <w:rsid w:val="00D72765"/>
    <w:rsid w:val="00D97561"/>
    <w:rsid w:val="00D97AB6"/>
    <w:rsid w:val="00DA259B"/>
    <w:rsid w:val="00DA5FC3"/>
    <w:rsid w:val="00DA674E"/>
    <w:rsid w:val="00DA799F"/>
    <w:rsid w:val="00DB3460"/>
    <w:rsid w:val="00DB466C"/>
    <w:rsid w:val="00DB558E"/>
    <w:rsid w:val="00DB71A3"/>
    <w:rsid w:val="00DC13A0"/>
    <w:rsid w:val="00DC1D5C"/>
    <w:rsid w:val="00DC7B5D"/>
    <w:rsid w:val="00DD54A8"/>
    <w:rsid w:val="00DE45D7"/>
    <w:rsid w:val="00DE6BF9"/>
    <w:rsid w:val="00DE6F3F"/>
    <w:rsid w:val="00DE7FD5"/>
    <w:rsid w:val="00DF124E"/>
    <w:rsid w:val="00DF6653"/>
    <w:rsid w:val="00E1043D"/>
    <w:rsid w:val="00E105EC"/>
    <w:rsid w:val="00E10759"/>
    <w:rsid w:val="00E22056"/>
    <w:rsid w:val="00E25E8F"/>
    <w:rsid w:val="00E3067E"/>
    <w:rsid w:val="00E32D36"/>
    <w:rsid w:val="00E351C7"/>
    <w:rsid w:val="00E36A30"/>
    <w:rsid w:val="00E413A9"/>
    <w:rsid w:val="00E420ED"/>
    <w:rsid w:val="00E4460E"/>
    <w:rsid w:val="00E45165"/>
    <w:rsid w:val="00E4684A"/>
    <w:rsid w:val="00E57852"/>
    <w:rsid w:val="00E60C98"/>
    <w:rsid w:val="00E661E7"/>
    <w:rsid w:val="00E70B4A"/>
    <w:rsid w:val="00E71F0A"/>
    <w:rsid w:val="00E756D4"/>
    <w:rsid w:val="00E772EC"/>
    <w:rsid w:val="00E81E50"/>
    <w:rsid w:val="00E82E8E"/>
    <w:rsid w:val="00E845C2"/>
    <w:rsid w:val="00E94A79"/>
    <w:rsid w:val="00E94CC1"/>
    <w:rsid w:val="00E95ACF"/>
    <w:rsid w:val="00E96254"/>
    <w:rsid w:val="00EB066D"/>
    <w:rsid w:val="00EB08A7"/>
    <w:rsid w:val="00EB2335"/>
    <w:rsid w:val="00EB4F4B"/>
    <w:rsid w:val="00EC0944"/>
    <w:rsid w:val="00ED0E21"/>
    <w:rsid w:val="00ED2A65"/>
    <w:rsid w:val="00ED37A4"/>
    <w:rsid w:val="00ED3B04"/>
    <w:rsid w:val="00ED3E20"/>
    <w:rsid w:val="00EE5591"/>
    <w:rsid w:val="00EE5D4F"/>
    <w:rsid w:val="00EF4122"/>
    <w:rsid w:val="00F020C2"/>
    <w:rsid w:val="00F03D74"/>
    <w:rsid w:val="00F10AA4"/>
    <w:rsid w:val="00F13D27"/>
    <w:rsid w:val="00F1430E"/>
    <w:rsid w:val="00F16034"/>
    <w:rsid w:val="00F25567"/>
    <w:rsid w:val="00F32416"/>
    <w:rsid w:val="00F34C85"/>
    <w:rsid w:val="00F35E78"/>
    <w:rsid w:val="00F37998"/>
    <w:rsid w:val="00F37B3B"/>
    <w:rsid w:val="00F42857"/>
    <w:rsid w:val="00F45E01"/>
    <w:rsid w:val="00F47FAC"/>
    <w:rsid w:val="00F520E5"/>
    <w:rsid w:val="00F52AB4"/>
    <w:rsid w:val="00F5366F"/>
    <w:rsid w:val="00F54F28"/>
    <w:rsid w:val="00F60063"/>
    <w:rsid w:val="00F6602E"/>
    <w:rsid w:val="00F70650"/>
    <w:rsid w:val="00F70B6C"/>
    <w:rsid w:val="00F72F83"/>
    <w:rsid w:val="00F73AB1"/>
    <w:rsid w:val="00F75081"/>
    <w:rsid w:val="00F76B0A"/>
    <w:rsid w:val="00F81124"/>
    <w:rsid w:val="00F813C4"/>
    <w:rsid w:val="00F844B5"/>
    <w:rsid w:val="00F866D8"/>
    <w:rsid w:val="00F904BE"/>
    <w:rsid w:val="00F9143D"/>
    <w:rsid w:val="00F96FCC"/>
    <w:rsid w:val="00FA07CE"/>
    <w:rsid w:val="00FA0A52"/>
    <w:rsid w:val="00FA2A1C"/>
    <w:rsid w:val="00FA7FAA"/>
    <w:rsid w:val="00FB4489"/>
    <w:rsid w:val="00FB45AC"/>
    <w:rsid w:val="00FC47E3"/>
    <w:rsid w:val="00FD1042"/>
    <w:rsid w:val="00FD221B"/>
    <w:rsid w:val="00FD2460"/>
    <w:rsid w:val="00FE336E"/>
    <w:rsid w:val="00FE7ED7"/>
    <w:rsid w:val="00FF3EE4"/>
    <w:rsid w:val="00FF407F"/>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77C3B"/>
  <w15:docId w15:val="{4B019445-96E7-4740-8FF4-D013DE91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99670DE9A5A4DAE77BDA3FB2D370E" ma:contentTypeVersion="10" ma:contentTypeDescription="Create a new document." ma:contentTypeScope="" ma:versionID="e90b410d93cdcad09bea66ae6e4fd642">
  <xsd:schema xmlns:xsd="http://www.w3.org/2001/XMLSchema" xmlns:xs="http://www.w3.org/2001/XMLSchema" xmlns:p="http://schemas.microsoft.com/office/2006/metadata/properties" xmlns:ns2="13ab1d9b-24e5-47fb-a281-a21b5df5e1ee" xmlns:ns3="a2e05f3b-8227-455b-8a98-43cbdc1ffb31" targetNamespace="http://schemas.microsoft.com/office/2006/metadata/properties" ma:root="true" ma:fieldsID="92384d2339fc1d6472c672d35e73970f" ns2:_="" ns3:_="">
    <xsd:import namespace="13ab1d9b-24e5-47fb-a281-a21b5df5e1ee"/>
    <xsd:import namespace="a2e05f3b-8227-455b-8a98-43cbdc1ffb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b1d9b-24e5-47fb-a281-a21b5df5e1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05f3b-8227-455b-8a98-43cbdc1ffb3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2628-E47E-4742-B9E7-86CE915F4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b1d9b-24e5-47fb-a281-a21b5df5e1ee"/>
    <ds:schemaRef ds:uri="a2e05f3b-8227-455b-8a98-43cbdc1ff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B389D-8BC4-428D-A44B-6A9B5D4085ED}">
  <ds:schemaRefs>
    <ds:schemaRef ds:uri="http://schemas.microsoft.com/sharepoint/v3/contenttype/forms"/>
  </ds:schemaRefs>
</ds:datastoreItem>
</file>

<file path=customXml/itemProps3.xml><?xml version="1.0" encoding="utf-8"?>
<ds:datastoreItem xmlns:ds="http://schemas.openxmlformats.org/officeDocument/2006/customXml" ds:itemID="{E3D1C69A-7823-4B36-8930-7106E541825F}">
  <ds:schemaRefs>
    <ds:schemaRef ds:uri="13ab1d9b-24e5-47fb-a281-a21b5df5e1e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2e05f3b-8227-455b-8a98-43cbdc1ffb31"/>
    <ds:schemaRef ds:uri="http://www.w3.org/XML/1998/namespace"/>
    <ds:schemaRef ds:uri="http://purl.org/dc/dcmitype/"/>
  </ds:schemaRefs>
</ds:datastoreItem>
</file>

<file path=customXml/itemProps4.xml><?xml version="1.0" encoding="utf-8"?>
<ds:datastoreItem xmlns:ds="http://schemas.openxmlformats.org/officeDocument/2006/customXml" ds:itemID="{E784E349-D948-41D0-83EA-7EC08D52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1884</Words>
  <Characters>10745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Fuehrmeyer</dc:creator>
  <cp:lastModifiedBy>Rafael Wiesenberg</cp:lastModifiedBy>
  <cp:revision>2</cp:revision>
  <cp:lastPrinted>2018-09-11T19:45:00Z</cp:lastPrinted>
  <dcterms:created xsi:type="dcterms:W3CDTF">2018-09-13T14:23:00Z</dcterms:created>
  <dcterms:modified xsi:type="dcterms:W3CDTF">2018-09-13T14:23:00Z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0x010100E5299670DE9A5A4DAE77BDA3FB2D370E</vt:lpwstr>
  </property>
</Properties>
</file>