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B2B3" w14:textId="17490F7F" w:rsidR="00C07D21" w:rsidRPr="008B1FB7" w:rsidRDefault="00004EC1" w:rsidP="00C07D21">
      <w:pPr>
        <w:spacing w:after="0" w:line="240" w:lineRule="auto"/>
        <w:rPr>
          <w:rFonts w:ascii="Times New Roman" w:hAnsi="Times New Roman"/>
          <w:sz w:val="20"/>
          <w:szCs w:val="20"/>
        </w:rPr>
      </w:pPr>
      <w:r w:rsidRPr="008B1FB7">
        <w:rPr>
          <w:rFonts w:ascii="Times New Roman" w:hAnsi="Times New Roman"/>
          <w:sz w:val="20"/>
          <w:szCs w:val="20"/>
        </w:rPr>
        <w:t>July 1</w:t>
      </w:r>
      <w:r w:rsidR="00852838" w:rsidRPr="008B1FB7">
        <w:rPr>
          <w:rFonts w:ascii="Times New Roman" w:hAnsi="Times New Roman"/>
          <w:sz w:val="20"/>
          <w:szCs w:val="20"/>
        </w:rPr>
        <w:t>, 2016</w:t>
      </w:r>
    </w:p>
    <w:p w14:paraId="5C923DD7" w14:textId="77777777" w:rsidR="00C07D21" w:rsidRPr="008B1FB7" w:rsidRDefault="00C07D21" w:rsidP="00C07D21">
      <w:pPr>
        <w:spacing w:after="0" w:line="240" w:lineRule="auto"/>
        <w:rPr>
          <w:rFonts w:ascii="Times New Roman" w:hAnsi="Times New Roman"/>
          <w:sz w:val="20"/>
          <w:szCs w:val="20"/>
        </w:rPr>
      </w:pPr>
      <w:r w:rsidRPr="008B1FB7">
        <w:rPr>
          <w:rFonts w:ascii="Times New Roman" w:hAnsi="Times New Roman"/>
          <w:sz w:val="20"/>
          <w:szCs w:val="20"/>
        </w:rPr>
        <w:br/>
        <w:t>Technical Director</w:t>
      </w:r>
      <w:r w:rsidRPr="008B1FB7">
        <w:rPr>
          <w:rFonts w:ascii="Times New Roman" w:hAnsi="Times New Roman"/>
          <w:sz w:val="20"/>
          <w:szCs w:val="20"/>
        </w:rPr>
        <w:br/>
        <w:t>Financial Accounting Standards Board</w:t>
      </w:r>
      <w:r w:rsidRPr="008B1FB7">
        <w:rPr>
          <w:rFonts w:ascii="Times New Roman" w:hAnsi="Times New Roman"/>
          <w:sz w:val="20"/>
          <w:szCs w:val="20"/>
        </w:rPr>
        <w:br/>
        <w:t>401 Merritt 7, P.O. Box 5116</w:t>
      </w:r>
    </w:p>
    <w:p w14:paraId="715B3F83" w14:textId="77777777" w:rsidR="00C07D21" w:rsidRPr="008B1FB7" w:rsidRDefault="00C07D21" w:rsidP="00C07D21">
      <w:pPr>
        <w:spacing w:after="0" w:line="240" w:lineRule="auto"/>
        <w:rPr>
          <w:rFonts w:ascii="Times New Roman" w:hAnsi="Times New Roman"/>
          <w:sz w:val="20"/>
          <w:szCs w:val="20"/>
        </w:rPr>
      </w:pPr>
      <w:r w:rsidRPr="008B1FB7">
        <w:rPr>
          <w:rFonts w:ascii="Times New Roman" w:hAnsi="Times New Roman"/>
          <w:sz w:val="20"/>
          <w:szCs w:val="20"/>
        </w:rPr>
        <w:t>Norwalk, CT 06856-5116</w:t>
      </w:r>
    </w:p>
    <w:p w14:paraId="54A07FB2" w14:textId="77777777" w:rsidR="00C07D21" w:rsidRPr="008B1FB7" w:rsidRDefault="00C07D21" w:rsidP="00C07D21">
      <w:pPr>
        <w:spacing w:after="0" w:line="240" w:lineRule="auto"/>
        <w:rPr>
          <w:rFonts w:ascii="Times New Roman" w:hAnsi="Times New Roman"/>
          <w:sz w:val="20"/>
          <w:szCs w:val="20"/>
        </w:rPr>
      </w:pPr>
    </w:p>
    <w:p w14:paraId="09AA6E92" w14:textId="21A2F564" w:rsidR="00C07D21" w:rsidRPr="008B1FB7" w:rsidRDefault="00C07D21" w:rsidP="00D44D90">
      <w:pPr>
        <w:spacing w:after="0" w:line="240" w:lineRule="auto"/>
        <w:jc w:val="both"/>
        <w:rPr>
          <w:rFonts w:ascii="Times New Roman" w:hAnsi="Times New Roman"/>
          <w:sz w:val="20"/>
          <w:szCs w:val="20"/>
        </w:rPr>
      </w:pPr>
      <w:r w:rsidRPr="008B1FB7">
        <w:rPr>
          <w:rFonts w:ascii="Times New Roman" w:hAnsi="Times New Roman"/>
          <w:sz w:val="20"/>
          <w:szCs w:val="20"/>
        </w:rPr>
        <w:t>Re</w:t>
      </w:r>
      <w:r w:rsidR="00794A76" w:rsidRPr="008B1FB7">
        <w:rPr>
          <w:rFonts w:ascii="Times New Roman" w:hAnsi="Times New Roman"/>
          <w:sz w:val="20"/>
          <w:szCs w:val="20"/>
        </w:rPr>
        <w:t>:</w:t>
      </w:r>
      <w:r w:rsidR="00806C94" w:rsidRPr="008B1FB7">
        <w:rPr>
          <w:rFonts w:ascii="Times New Roman" w:hAnsi="Times New Roman"/>
          <w:sz w:val="20"/>
          <w:szCs w:val="20"/>
        </w:rPr>
        <w:t xml:space="preserve"> </w:t>
      </w:r>
      <w:r w:rsidR="00794A76" w:rsidRPr="008B1FB7">
        <w:rPr>
          <w:rFonts w:ascii="Times New Roman" w:hAnsi="Times New Roman"/>
          <w:sz w:val="20"/>
          <w:szCs w:val="20"/>
        </w:rPr>
        <w:t>File Reference No. 2016-</w:t>
      </w:r>
      <w:r w:rsidR="00004EC1" w:rsidRPr="008B1FB7">
        <w:rPr>
          <w:rFonts w:ascii="Times New Roman" w:hAnsi="Times New Roman"/>
          <w:sz w:val="20"/>
          <w:szCs w:val="20"/>
        </w:rPr>
        <w:t>240</w:t>
      </w:r>
    </w:p>
    <w:p w14:paraId="792B58B9" w14:textId="77777777" w:rsidR="00794A76" w:rsidRPr="008B1FB7" w:rsidRDefault="00794A76" w:rsidP="00D44D90">
      <w:pPr>
        <w:spacing w:after="0" w:line="240" w:lineRule="auto"/>
        <w:jc w:val="both"/>
        <w:rPr>
          <w:rFonts w:ascii="Times New Roman" w:hAnsi="Times New Roman"/>
          <w:sz w:val="20"/>
          <w:szCs w:val="20"/>
        </w:rPr>
      </w:pPr>
    </w:p>
    <w:p w14:paraId="6A6087AA" w14:textId="35B22A4E" w:rsidR="00FA7FAA" w:rsidRPr="008B1FB7" w:rsidRDefault="00FA7FAA" w:rsidP="00D44D90">
      <w:pPr>
        <w:spacing w:after="0" w:line="240" w:lineRule="auto"/>
        <w:jc w:val="both"/>
        <w:rPr>
          <w:rFonts w:ascii="Times New Roman" w:hAnsi="Times New Roman"/>
          <w:sz w:val="20"/>
          <w:szCs w:val="20"/>
        </w:rPr>
      </w:pPr>
      <w:r w:rsidRPr="008B1FB7">
        <w:rPr>
          <w:rFonts w:ascii="Times New Roman" w:hAnsi="Times New Roman"/>
          <w:sz w:val="20"/>
          <w:szCs w:val="20"/>
        </w:rPr>
        <w:t xml:space="preserve">The Accounting Principles Committee of the Illinois CPA Society (Committee) appreciates the opportunity to provide its perspective on the </w:t>
      </w:r>
      <w:r w:rsidR="00D44D90" w:rsidRPr="008B1FB7">
        <w:rPr>
          <w:rFonts w:ascii="Times New Roman" w:hAnsi="Times New Roman"/>
          <w:sz w:val="20"/>
          <w:szCs w:val="20"/>
        </w:rPr>
        <w:t>Proposed Accounting Standards Update—</w:t>
      </w:r>
      <w:r w:rsidR="00404B82" w:rsidRPr="008B1FB7">
        <w:rPr>
          <w:rFonts w:ascii="Times New Roman" w:hAnsi="Times New Roman"/>
          <w:i/>
          <w:iCs/>
          <w:sz w:val="20"/>
          <w:szCs w:val="20"/>
        </w:rPr>
        <w:t>—Technical Corrections and Improvements to Update No. 2014-09, Revenue from Contracts with Customers (Topic 606).</w:t>
      </w:r>
      <w:r w:rsidRPr="008B1FB7">
        <w:rPr>
          <w:rFonts w:ascii="Times New Roman" w:hAnsi="Times New Roman"/>
          <w:sz w:val="20"/>
          <w:szCs w:val="20"/>
        </w:rPr>
        <w:t xml:space="preserve"> 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1441808B" w14:textId="77777777" w:rsidR="00D44D90" w:rsidRPr="008B1FB7" w:rsidRDefault="00D44D90" w:rsidP="00D44D90">
      <w:pPr>
        <w:spacing w:after="0" w:line="240" w:lineRule="auto"/>
        <w:jc w:val="both"/>
        <w:rPr>
          <w:rFonts w:ascii="Times New Roman" w:hAnsi="Times New Roman"/>
          <w:sz w:val="20"/>
          <w:szCs w:val="20"/>
        </w:rPr>
      </w:pPr>
    </w:p>
    <w:p w14:paraId="46051EC1" w14:textId="3F7BF942" w:rsidR="008C45C6" w:rsidRPr="008B1FB7" w:rsidRDefault="00852838" w:rsidP="00041775">
      <w:pPr>
        <w:spacing w:line="240" w:lineRule="auto"/>
        <w:jc w:val="both"/>
        <w:rPr>
          <w:rFonts w:ascii="Times New Roman" w:hAnsi="Times New Roman"/>
          <w:sz w:val="20"/>
          <w:szCs w:val="20"/>
        </w:rPr>
      </w:pPr>
      <w:r w:rsidRPr="008B1FB7">
        <w:rPr>
          <w:rFonts w:ascii="Times New Roman" w:hAnsi="Times New Roman"/>
          <w:sz w:val="20"/>
          <w:szCs w:val="20"/>
        </w:rPr>
        <w:t>W</w:t>
      </w:r>
      <w:r w:rsidR="002C22EC" w:rsidRPr="008B1FB7">
        <w:rPr>
          <w:rFonts w:ascii="Times New Roman" w:hAnsi="Times New Roman"/>
          <w:sz w:val="20"/>
          <w:szCs w:val="20"/>
        </w:rPr>
        <w:t xml:space="preserve">e </w:t>
      </w:r>
      <w:r w:rsidR="00D44D90" w:rsidRPr="008B1FB7">
        <w:rPr>
          <w:rFonts w:ascii="Times New Roman" w:hAnsi="Times New Roman"/>
          <w:sz w:val="20"/>
          <w:szCs w:val="20"/>
        </w:rPr>
        <w:t>are supportive of the Board’s</w:t>
      </w:r>
      <w:r w:rsidR="000D728D" w:rsidRPr="008B1FB7">
        <w:rPr>
          <w:rFonts w:ascii="Times New Roman" w:hAnsi="Times New Roman"/>
          <w:sz w:val="20"/>
          <w:szCs w:val="20"/>
        </w:rPr>
        <w:t xml:space="preserve"> efforts</w:t>
      </w:r>
      <w:r w:rsidR="00404B82" w:rsidRPr="008B1FB7">
        <w:rPr>
          <w:rFonts w:ascii="Times New Roman" w:hAnsi="Times New Roman"/>
          <w:sz w:val="20"/>
          <w:szCs w:val="20"/>
        </w:rPr>
        <w:t xml:space="preserve"> to clarify the </w:t>
      </w:r>
      <w:r w:rsidR="00404B82" w:rsidRPr="008B1FB7">
        <w:rPr>
          <w:rFonts w:ascii="Times New Roman" w:hAnsi="Times New Roman"/>
          <w:i/>
          <w:sz w:val="20"/>
          <w:szCs w:val="20"/>
        </w:rPr>
        <w:t>FASB Accounting Standards Codification</w:t>
      </w:r>
      <w:r w:rsidR="00404B82" w:rsidRPr="008B1FB7">
        <w:rPr>
          <w:rFonts w:ascii="Times New Roman" w:hAnsi="Times New Roman"/>
          <w:sz w:val="20"/>
          <w:szCs w:val="20"/>
        </w:rPr>
        <w:t xml:space="preserve"> </w:t>
      </w:r>
      <w:r w:rsidR="00CC31CA" w:rsidRPr="008B1FB7">
        <w:rPr>
          <w:rFonts w:ascii="Times New Roman" w:hAnsi="Times New Roman"/>
          <w:sz w:val="20"/>
          <w:szCs w:val="20"/>
        </w:rPr>
        <w:t>and</w:t>
      </w:r>
      <w:r w:rsidR="00404B82" w:rsidRPr="008B1FB7">
        <w:rPr>
          <w:rFonts w:ascii="Times New Roman" w:hAnsi="Times New Roman"/>
          <w:sz w:val="20"/>
          <w:szCs w:val="20"/>
        </w:rPr>
        <w:t xml:space="preserve"> to correct unintended application of guidance</w:t>
      </w:r>
      <w:r w:rsidR="00CC31CA" w:rsidRPr="008B1FB7">
        <w:rPr>
          <w:rFonts w:ascii="Times New Roman" w:hAnsi="Times New Roman"/>
          <w:sz w:val="20"/>
          <w:szCs w:val="20"/>
        </w:rPr>
        <w:t>,</w:t>
      </w:r>
      <w:r w:rsidR="00404B82" w:rsidRPr="008B1FB7">
        <w:rPr>
          <w:rFonts w:ascii="Times New Roman" w:hAnsi="Times New Roman"/>
          <w:sz w:val="20"/>
          <w:szCs w:val="20"/>
        </w:rPr>
        <w:t xml:space="preserve"> </w:t>
      </w:r>
      <w:r w:rsidR="008806F3" w:rsidRPr="008B1FB7">
        <w:rPr>
          <w:rFonts w:ascii="Times New Roman" w:hAnsi="Times New Roman"/>
          <w:sz w:val="20"/>
          <w:szCs w:val="20"/>
        </w:rPr>
        <w:t>and</w:t>
      </w:r>
      <w:r w:rsidRPr="008B1FB7">
        <w:rPr>
          <w:rFonts w:ascii="Times New Roman" w:hAnsi="Times New Roman"/>
          <w:sz w:val="20"/>
          <w:szCs w:val="20"/>
        </w:rPr>
        <w:t xml:space="preserve"> </w:t>
      </w:r>
      <w:r w:rsidR="008806F3" w:rsidRPr="008B1FB7">
        <w:rPr>
          <w:rFonts w:ascii="Times New Roman" w:hAnsi="Times New Roman"/>
          <w:sz w:val="20"/>
          <w:szCs w:val="20"/>
        </w:rPr>
        <w:t>w</w:t>
      </w:r>
      <w:r w:rsidRPr="008B1FB7">
        <w:rPr>
          <w:rFonts w:ascii="Times New Roman" w:hAnsi="Times New Roman"/>
          <w:sz w:val="20"/>
          <w:szCs w:val="20"/>
        </w:rPr>
        <w:t>e believe that the proposed guidance will be helpful to</w:t>
      </w:r>
      <w:r w:rsidR="008806F3" w:rsidRPr="008B1FB7">
        <w:rPr>
          <w:rFonts w:ascii="Times New Roman" w:hAnsi="Times New Roman"/>
          <w:sz w:val="20"/>
          <w:szCs w:val="20"/>
        </w:rPr>
        <w:t xml:space="preserve"> financial statement users</w:t>
      </w:r>
      <w:r w:rsidRPr="008B1FB7">
        <w:rPr>
          <w:rFonts w:ascii="Times New Roman" w:hAnsi="Times New Roman"/>
          <w:sz w:val="20"/>
          <w:szCs w:val="20"/>
        </w:rPr>
        <w:t>.</w:t>
      </w:r>
    </w:p>
    <w:p w14:paraId="2FED0AAC" w14:textId="4475DC57" w:rsidR="00D44D90" w:rsidRPr="008B1FB7" w:rsidRDefault="008806F3" w:rsidP="00041775">
      <w:pPr>
        <w:spacing w:line="240" w:lineRule="auto"/>
        <w:jc w:val="both"/>
        <w:rPr>
          <w:rFonts w:ascii="Times New Roman" w:hAnsi="Times New Roman"/>
          <w:sz w:val="20"/>
          <w:szCs w:val="20"/>
        </w:rPr>
      </w:pPr>
      <w:r w:rsidRPr="008B1FB7">
        <w:rPr>
          <w:rFonts w:ascii="Times New Roman" w:hAnsi="Times New Roman"/>
          <w:sz w:val="20"/>
          <w:szCs w:val="20"/>
        </w:rPr>
        <w:t xml:space="preserve">Following are </w:t>
      </w:r>
      <w:r w:rsidR="00685277" w:rsidRPr="008B1FB7">
        <w:rPr>
          <w:rFonts w:ascii="Times New Roman" w:hAnsi="Times New Roman"/>
          <w:sz w:val="20"/>
          <w:szCs w:val="20"/>
        </w:rPr>
        <w:t>o</w:t>
      </w:r>
      <w:r w:rsidR="000D728D" w:rsidRPr="008B1FB7">
        <w:rPr>
          <w:rFonts w:ascii="Times New Roman" w:hAnsi="Times New Roman"/>
          <w:sz w:val="20"/>
          <w:szCs w:val="20"/>
        </w:rPr>
        <w:t xml:space="preserve">ur responses to the proposal’s </w:t>
      </w:r>
      <w:r w:rsidR="00685277" w:rsidRPr="008B1FB7">
        <w:rPr>
          <w:rFonts w:ascii="Times New Roman" w:hAnsi="Times New Roman"/>
          <w:sz w:val="20"/>
          <w:szCs w:val="20"/>
        </w:rPr>
        <w:t>Questions for Respondents</w:t>
      </w:r>
      <w:r w:rsidR="000D728D" w:rsidRPr="008B1FB7">
        <w:rPr>
          <w:rFonts w:ascii="Times New Roman" w:hAnsi="Times New Roman"/>
          <w:sz w:val="20"/>
          <w:szCs w:val="20"/>
        </w:rPr>
        <w:t>.</w:t>
      </w:r>
      <w:r w:rsidR="006A158C" w:rsidRPr="008B1FB7">
        <w:rPr>
          <w:rFonts w:ascii="Times New Roman" w:hAnsi="Times New Roman"/>
          <w:sz w:val="20"/>
          <w:szCs w:val="20"/>
        </w:rPr>
        <w:t xml:space="preserve"> Questions for which the Committee had no response are excluded from the list below.</w:t>
      </w:r>
      <w:r w:rsidR="00D44D90" w:rsidRPr="008B1FB7">
        <w:rPr>
          <w:rFonts w:ascii="Times New Roman" w:hAnsi="Times New Roman"/>
          <w:sz w:val="20"/>
          <w:szCs w:val="20"/>
        </w:rPr>
        <w:t xml:space="preserve">  </w:t>
      </w:r>
    </w:p>
    <w:p w14:paraId="7CAB7EB1" w14:textId="77777777" w:rsidR="006D679B" w:rsidRPr="008B1FB7" w:rsidRDefault="006D679B" w:rsidP="00AC4572">
      <w:pPr>
        <w:pStyle w:val="ListParagraph"/>
        <w:jc w:val="both"/>
        <w:rPr>
          <w:i/>
          <w:sz w:val="20"/>
          <w:szCs w:val="20"/>
        </w:rPr>
      </w:pPr>
      <w:r w:rsidRPr="008B1FB7">
        <w:rPr>
          <w:i/>
          <w:sz w:val="20"/>
          <w:szCs w:val="20"/>
        </w:rPr>
        <w:t>Question 1: The proposed amendments to Subtopic 340-10, Other Assets and Deferred Costs—</w:t>
      </w:r>
      <w:proofErr w:type="gramStart"/>
      <w:r w:rsidRPr="008B1FB7">
        <w:rPr>
          <w:i/>
          <w:sz w:val="20"/>
          <w:szCs w:val="20"/>
        </w:rPr>
        <w:t>Overall,</w:t>
      </w:r>
      <w:proofErr w:type="gramEnd"/>
      <w:r w:rsidRPr="008B1FB7">
        <w:rPr>
          <w:i/>
          <w:sz w:val="20"/>
          <w:szCs w:val="20"/>
        </w:rPr>
        <w:t xml:space="preserve"> would supersede the guidance on accounting for pre-production costs related to long-term supply arrangements. Consequently, an entity would apply the guidance in Subtopic 340-40, Other Assets and Deferred Costs—Contracts with Customers, if the costs relate to a contract with a customer. Do the proposed amendments resolve the scope issue? If not, please explain why and suggest alternatives. (Issue 1)</w:t>
      </w:r>
    </w:p>
    <w:p w14:paraId="6FA8AC66" w14:textId="77777777" w:rsidR="007A27DC" w:rsidRPr="008B1FB7" w:rsidRDefault="007A27DC" w:rsidP="007A27DC">
      <w:pPr>
        <w:pStyle w:val="ListParagraph"/>
        <w:jc w:val="both"/>
        <w:rPr>
          <w:sz w:val="20"/>
          <w:szCs w:val="20"/>
        </w:rPr>
      </w:pPr>
    </w:p>
    <w:p w14:paraId="197FAF72" w14:textId="76DF4228" w:rsidR="001116C4" w:rsidRPr="008B1FB7" w:rsidRDefault="00004EC1" w:rsidP="00004EC1">
      <w:pPr>
        <w:pStyle w:val="ListParagraph"/>
        <w:jc w:val="both"/>
        <w:rPr>
          <w:sz w:val="20"/>
          <w:szCs w:val="20"/>
        </w:rPr>
      </w:pPr>
      <w:r w:rsidRPr="008B1FB7">
        <w:rPr>
          <w:sz w:val="20"/>
          <w:szCs w:val="20"/>
        </w:rPr>
        <w:t>We believe the proposed amendments resolve the scope issue.</w:t>
      </w:r>
    </w:p>
    <w:p w14:paraId="2D732897" w14:textId="77777777" w:rsidR="007A27DC" w:rsidRPr="008B1FB7" w:rsidRDefault="007A27DC" w:rsidP="007A27DC">
      <w:pPr>
        <w:pStyle w:val="ListParagraph"/>
        <w:jc w:val="both"/>
        <w:rPr>
          <w:sz w:val="20"/>
          <w:szCs w:val="20"/>
        </w:rPr>
      </w:pPr>
    </w:p>
    <w:p w14:paraId="5F4289D4" w14:textId="02C26FB9" w:rsidR="00E85782" w:rsidRPr="008B1FB7" w:rsidRDefault="006D679B" w:rsidP="00AC4572">
      <w:pPr>
        <w:pStyle w:val="ListParagraph"/>
        <w:jc w:val="both"/>
        <w:rPr>
          <w:i/>
          <w:sz w:val="20"/>
          <w:szCs w:val="20"/>
        </w:rPr>
      </w:pPr>
      <w:r w:rsidRPr="008B1FB7">
        <w:rPr>
          <w:i/>
          <w:sz w:val="20"/>
          <w:szCs w:val="20"/>
        </w:rPr>
        <w:t>Question 2: The proposed amendments are intended to improve the clarity of the impairment testing requirements in Subtopic 340-40. Would the proposed amendments improve the clarity of these requirements? If not, please explain why and suggest alternatives. (Issue 2 and Issue 3)</w:t>
      </w:r>
    </w:p>
    <w:p w14:paraId="7844B531" w14:textId="77777777" w:rsidR="00004EC1" w:rsidRPr="008B1FB7" w:rsidRDefault="00004EC1" w:rsidP="00004EC1">
      <w:pPr>
        <w:pStyle w:val="ListParagraph"/>
        <w:jc w:val="both"/>
        <w:rPr>
          <w:i/>
          <w:sz w:val="20"/>
          <w:szCs w:val="20"/>
        </w:rPr>
      </w:pPr>
    </w:p>
    <w:p w14:paraId="6DE6366E" w14:textId="3BB8B41B" w:rsidR="00E85782" w:rsidRPr="008B1FB7" w:rsidRDefault="00E85782" w:rsidP="00F700A9">
      <w:pPr>
        <w:ind w:left="720"/>
        <w:jc w:val="both"/>
        <w:rPr>
          <w:rFonts w:ascii="Times New Roman" w:hAnsi="Times New Roman"/>
          <w:sz w:val="20"/>
          <w:szCs w:val="20"/>
        </w:rPr>
      </w:pPr>
      <w:r w:rsidRPr="008B1FB7">
        <w:rPr>
          <w:rFonts w:ascii="Times New Roman" w:hAnsi="Times New Roman"/>
          <w:sz w:val="20"/>
          <w:szCs w:val="20"/>
        </w:rPr>
        <w:t>W</w:t>
      </w:r>
      <w:r w:rsidR="00004EC1" w:rsidRPr="008B1FB7">
        <w:rPr>
          <w:rFonts w:ascii="Times New Roman" w:hAnsi="Times New Roman"/>
          <w:sz w:val="20"/>
          <w:szCs w:val="20"/>
        </w:rPr>
        <w:t>e agree</w:t>
      </w:r>
      <w:r w:rsidRPr="008B1FB7">
        <w:rPr>
          <w:rFonts w:ascii="Times New Roman" w:hAnsi="Times New Roman"/>
          <w:sz w:val="20"/>
          <w:szCs w:val="20"/>
        </w:rPr>
        <w:t xml:space="preserve"> that the proposed amendments improve the clarity of these requirements </w:t>
      </w:r>
      <w:r w:rsidR="00C354D7" w:rsidRPr="008B1FB7">
        <w:rPr>
          <w:rFonts w:ascii="Times New Roman" w:hAnsi="Times New Roman"/>
          <w:sz w:val="20"/>
          <w:szCs w:val="20"/>
        </w:rPr>
        <w:t>as related to impairment testing and interaction</w:t>
      </w:r>
      <w:r w:rsidR="00004EC1" w:rsidRPr="008B1FB7">
        <w:rPr>
          <w:rFonts w:ascii="Times New Roman" w:hAnsi="Times New Roman"/>
          <w:sz w:val="20"/>
          <w:szCs w:val="20"/>
        </w:rPr>
        <w:t xml:space="preserve"> with guidance in o</w:t>
      </w:r>
      <w:r w:rsidR="00C354D7" w:rsidRPr="008B1FB7">
        <w:rPr>
          <w:rFonts w:ascii="Times New Roman" w:hAnsi="Times New Roman"/>
          <w:sz w:val="20"/>
          <w:szCs w:val="20"/>
        </w:rPr>
        <w:t>ther Topics related to impairment testing.</w:t>
      </w:r>
    </w:p>
    <w:p w14:paraId="5808B73A" w14:textId="77777777" w:rsidR="006D679B" w:rsidRPr="008B1FB7" w:rsidRDefault="006D679B" w:rsidP="00AC4572">
      <w:pPr>
        <w:pStyle w:val="ListParagraph"/>
        <w:jc w:val="both"/>
        <w:rPr>
          <w:i/>
          <w:sz w:val="20"/>
          <w:szCs w:val="20"/>
        </w:rPr>
      </w:pPr>
      <w:r w:rsidRPr="008B1FB7">
        <w:rPr>
          <w:i/>
          <w:sz w:val="20"/>
          <w:szCs w:val="20"/>
        </w:rPr>
        <w:t>Question 3: The proposed amendments would provide an accounting policy election about the level at which the provision for loss contracts is determined. Would the proposed amendments improve the operability of applying the guidance on the provision for loss contracts in Topic 605, Revenue Recognition? If not, please explain why and suggest alternatives. (Issue 4)</w:t>
      </w:r>
    </w:p>
    <w:p w14:paraId="654644D4" w14:textId="77777777" w:rsidR="00C354D7" w:rsidRPr="008B1FB7" w:rsidRDefault="00C354D7" w:rsidP="00004EC1">
      <w:pPr>
        <w:pStyle w:val="ListParagraph"/>
        <w:rPr>
          <w:sz w:val="20"/>
          <w:szCs w:val="20"/>
        </w:rPr>
      </w:pPr>
    </w:p>
    <w:p w14:paraId="6DA86F0B" w14:textId="2D488DF2" w:rsidR="00C354D7" w:rsidRPr="008B1FB7" w:rsidRDefault="00EC689B" w:rsidP="00C354D7">
      <w:pPr>
        <w:ind w:left="720"/>
        <w:jc w:val="both"/>
        <w:rPr>
          <w:rFonts w:ascii="Times New Roman" w:hAnsi="Times New Roman"/>
          <w:sz w:val="20"/>
          <w:szCs w:val="20"/>
        </w:rPr>
      </w:pPr>
      <w:r w:rsidRPr="008B1FB7">
        <w:rPr>
          <w:rFonts w:ascii="Times New Roman" w:hAnsi="Times New Roman"/>
          <w:sz w:val="20"/>
          <w:szCs w:val="20"/>
        </w:rPr>
        <w:t>In our view,</w:t>
      </w:r>
      <w:r w:rsidR="002635A4" w:rsidRPr="008B1FB7">
        <w:rPr>
          <w:rFonts w:ascii="Times New Roman" w:hAnsi="Times New Roman"/>
          <w:sz w:val="20"/>
          <w:szCs w:val="20"/>
        </w:rPr>
        <w:t xml:space="preserve"> the proposed amendments woul</w:t>
      </w:r>
      <w:r w:rsidR="006A158C" w:rsidRPr="008B1FB7">
        <w:rPr>
          <w:rFonts w:ascii="Times New Roman" w:hAnsi="Times New Roman"/>
          <w:sz w:val="20"/>
          <w:szCs w:val="20"/>
        </w:rPr>
        <w:t>d improve the operability of</w:t>
      </w:r>
      <w:r w:rsidR="002635A4" w:rsidRPr="008B1FB7">
        <w:rPr>
          <w:rFonts w:ascii="Times New Roman" w:hAnsi="Times New Roman"/>
          <w:sz w:val="20"/>
          <w:szCs w:val="20"/>
        </w:rPr>
        <w:t xml:space="preserve"> applying the guidance on the </w:t>
      </w:r>
      <w:r w:rsidR="00004EC1" w:rsidRPr="008B1FB7">
        <w:rPr>
          <w:rFonts w:ascii="Times New Roman" w:hAnsi="Times New Roman"/>
          <w:sz w:val="20"/>
          <w:szCs w:val="20"/>
        </w:rPr>
        <w:t>provision for loss contracts in ASC 605</w:t>
      </w:r>
      <w:r w:rsidR="002635A4" w:rsidRPr="008B1FB7">
        <w:rPr>
          <w:rFonts w:ascii="Times New Roman" w:hAnsi="Times New Roman"/>
          <w:sz w:val="20"/>
          <w:szCs w:val="20"/>
        </w:rPr>
        <w:t xml:space="preserve">. </w:t>
      </w:r>
    </w:p>
    <w:p w14:paraId="65EB3F24" w14:textId="657A4581" w:rsidR="005905DC" w:rsidRPr="008B1FB7" w:rsidRDefault="00004EC1" w:rsidP="00C354D7">
      <w:pPr>
        <w:ind w:left="720"/>
        <w:jc w:val="both"/>
        <w:rPr>
          <w:rFonts w:ascii="Times New Roman" w:hAnsi="Times New Roman"/>
          <w:sz w:val="20"/>
          <w:szCs w:val="20"/>
        </w:rPr>
      </w:pPr>
      <w:r w:rsidRPr="008B1FB7">
        <w:rPr>
          <w:rFonts w:ascii="Times New Roman" w:hAnsi="Times New Roman"/>
          <w:sz w:val="20"/>
          <w:szCs w:val="20"/>
        </w:rPr>
        <w:t>However, we believe</w:t>
      </w:r>
      <w:r w:rsidR="00EC689B" w:rsidRPr="008B1FB7">
        <w:rPr>
          <w:rFonts w:ascii="Times New Roman" w:hAnsi="Times New Roman"/>
          <w:sz w:val="20"/>
          <w:szCs w:val="20"/>
        </w:rPr>
        <w:t xml:space="preserve"> additional guidance, such as an example illustrating application by type of contract, would assist </w:t>
      </w:r>
      <w:r w:rsidR="005905DC" w:rsidRPr="008B1FB7">
        <w:rPr>
          <w:rFonts w:ascii="Times New Roman" w:hAnsi="Times New Roman"/>
          <w:sz w:val="20"/>
          <w:szCs w:val="20"/>
        </w:rPr>
        <w:t>stakeho</w:t>
      </w:r>
      <w:r w:rsidR="00EC689B" w:rsidRPr="008B1FB7">
        <w:rPr>
          <w:rFonts w:ascii="Times New Roman" w:hAnsi="Times New Roman"/>
          <w:sz w:val="20"/>
          <w:szCs w:val="20"/>
        </w:rPr>
        <w:t>lders in applying the guidance.</w:t>
      </w:r>
    </w:p>
    <w:p w14:paraId="3F907DDB" w14:textId="77777777" w:rsidR="006D679B" w:rsidRPr="008B1FB7" w:rsidRDefault="006D679B" w:rsidP="00AC4572">
      <w:pPr>
        <w:pStyle w:val="ListParagraph"/>
        <w:jc w:val="both"/>
        <w:rPr>
          <w:i/>
          <w:sz w:val="20"/>
          <w:szCs w:val="20"/>
        </w:rPr>
      </w:pPr>
      <w:r w:rsidRPr="008B1FB7">
        <w:rPr>
          <w:i/>
          <w:sz w:val="20"/>
          <w:szCs w:val="20"/>
        </w:rPr>
        <w:t xml:space="preserve">Question 5: The proposed amendments would provide an additional practical expedient to the disclosure of remaining performance obligations in specific situations in which an entity need not estimate variable consideration to recognize revenue. Would the addition of this practical expedient diminish the usefulness of the disclosure information? If yes, please explain why. Would the proposed amendments reduce the cost and complexity of applying Topic 606? If not, </w:t>
      </w:r>
      <w:r w:rsidRPr="008B1FB7">
        <w:rPr>
          <w:i/>
          <w:sz w:val="20"/>
          <w:szCs w:val="20"/>
        </w:rPr>
        <w:lastRenderedPageBreak/>
        <w:t>why? Are there other situations in which an entity would be required to estimate variable consideration for disclosure but not for purposes of recognizing revenue? (Issue 6)</w:t>
      </w:r>
    </w:p>
    <w:p w14:paraId="7CC56D94" w14:textId="77777777" w:rsidR="00EF0D61" w:rsidRPr="008B1FB7" w:rsidRDefault="00EF0D61" w:rsidP="00E03DF4">
      <w:pPr>
        <w:pStyle w:val="ListParagraph"/>
        <w:rPr>
          <w:sz w:val="20"/>
          <w:szCs w:val="20"/>
        </w:rPr>
      </w:pPr>
    </w:p>
    <w:p w14:paraId="2F327F6A" w14:textId="7322E898" w:rsidR="00EF0D61" w:rsidRPr="008B1FB7" w:rsidRDefault="000A0340" w:rsidP="00EF0D61">
      <w:pPr>
        <w:ind w:left="720"/>
        <w:jc w:val="both"/>
        <w:rPr>
          <w:rFonts w:ascii="Times New Roman" w:hAnsi="Times New Roman"/>
          <w:sz w:val="20"/>
          <w:szCs w:val="20"/>
        </w:rPr>
      </w:pPr>
      <w:r w:rsidRPr="008B1FB7">
        <w:rPr>
          <w:rFonts w:ascii="Times New Roman" w:hAnsi="Times New Roman"/>
          <w:sz w:val="20"/>
          <w:szCs w:val="20"/>
        </w:rPr>
        <w:t>We do not believe that the additional practical expedient diminishes the usefulness of the disclosure information.</w:t>
      </w:r>
    </w:p>
    <w:p w14:paraId="75B0ACC4" w14:textId="21E61A48" w:rsidR="000A0340" w:rsidRPr="008B1FB7" w:rsidRDefault="000A0340" w:rsidP="00EF0D61">
      <w:pPr>
        <w:ind w:left="720"/>
        <w:jc w:val="both"/>
        <w:rPr>
          <w:rFonts w:ascii="Times New Roman" w:hAnsi="Times New Roman"/>
          <w:sz w:val="20"/>
          <w:szCs w:val="20"/>
        </w:rPr>
      </w:pPr>
      <w:r w:rsidRPr="008B1FB7">
        <w:rPr>
          <w:rFonts w:ascii="Times New Roman" w:hAnsi="Times New Roman"/>
          <w:sz w:val="20"/>
          <w:szCs w:val="20"/>
        </w:rPr>
        <w:t xml:space="preserve">However, </w:t>
      </w:r>
      <w:r w:rsidR="00DA10EF" w:rsidRPr="008B1FB7">
        <w:rPr>
          <w:rFonts w:ascii="Times New Roman" w:hAnsi="Times New Roman"/>
          <w:sz w:val="20"/>
          <w:szCs w:val="20"/>
        </w:rPr>
        <w:t xml:space="preserve">we note that </w:t>
      </w:r>
      <w:r w:rsidR="00E9715E" w:rsidRPr="008B1FB7">
        <w:rPr>
          <w:rFonts w:ascii="Times New Roman" w:hAnsi="Times New Roman"/>
          <w:sz w:val="20"/>
          <w:szCs w:val="20"/>
        </w:rPr>
        <w:t xml:space="preserve">paragraphs </w:t>
      </w:r>
      <w:r w:rsidR="006A158C" w:rsidRPr="008B1FB7">
        <w:rPr>
          <w:rFonts w:ascii="Times New Roman" w:hAnsi="Times New Roman"/>
          <w:sz w:val="20"/>
          <w:szCs w:val="20"/>
        </w:rPr>
        <w:t>606-10-50-14A and 606-10-50-14B</w:t>
      </w:r>
      <w:r w:rsidR="00E9715E" w:rsidRPr="008B1FB7">
        <w:rPr>
          <w:rFonts w:ascii="Times New Roman" w:hAnsi="Times New Roman"/>
          <w:sz w:val="20"/>
          <w:szCs w:val="20"/>
        </w:rPr>
        <w:t xml:space="preserve"> </w:t>
      </w:r>
      <w:r w:rsidR="00DA10EF" w:rsidRPr="008B1FB7">
        <w:rPr>
          <w:rFonts w:ascii="Times New Roman" w:hAnsi="Times New Roman"/>
          <w:sz w:val="20"/>
          <w:szCs w:val="20"/>
        </w:rPr>
        <w:t xml:space="preserve">contain references to other paragraphs which, in turn, </w:t>
      </w:r>
      <w:r w:rsidR="00E9715E" w:rsidRPr="008B1FB7">
        <w:rPr>
          <w:rFonts w:ascii="Times New Roman" w:hAnsi="Times New Roman"/>
          <w:sz w:val="20"/>
          <w:szCs w:val="20"/>
        </w:rPr>
        <w:t>referenc</w:t>
      </w:r>
      <w:r w:rsidR="006A158C" w:rsidRPr="008B1FB7">
        <w:rPr>
          <w:rFonts w:ascii="Times New Roman" w:hAnsi="Times New Roman"/>
          <w:sz w:val="20"/>
          <w:szCs w:val="20"/>
        </w:rPr>
        <w:t>e</w:t>
      </w:r>
      <w:r w:rsidR="00E9715E" w:rsidRPr="008B1FB7">
        <w:rPr>
          <w:rFonts w:ascii="Times New Roman" w:hAnsi="Times New Roman"/>
          <w:sz w:val="20"/>
          <w:szCs w:val="20"/>
        </w:rPr>
        <w:t xml:space="preserve"> </w:t>
      </w:r>
      <w:r w:rsidR="00DA10EF" w:rsidRPr="008B1FB7">
        <w:rPr>
          <w:rFonts w:ascii="Times New Roman" w:hAnsi="Times New Roman"/>
          <w:sz w:val="20"/>
          <w:szCs w:val="20"/>
        </w:rPr>
        <w:t>still other</w:t>
      </w:r>
      <w:r w:rsidR="00E9715E" w:rsidRPr="008B1FB7">
        <w:rPr>
          <w:rFonts w:ascii="Times New Roman" w:hAnsi="Times New Roman"/>
          <w:sz w:val="20"/>
          <w:szCs w:val="20"/>
        </w:rPr>
        <w:t xml:space="preserve"> paragraphs</w:t>
      </w:r>
      <w:r w:rsidR="00DA10EF" w:rsidRPr="008B1FB7">
        <w:rPr>
          <w:rFonts w:ascii="Times New Roman" w:hAnsi="Times New Roman"/>
          <w:sz w:val="20"/>
          <w:szCs w:val="20"/>
        </w:rPr>
        <w:t xml:space="preserve">. Taken together, the proposed standard is difficult to read </w:t>
      </w:r>
      <w:r w:rsidR="00AC4572" w:rsidRPr="008B1FB7">
        <w:rPr>
          <w:rFonts w:ascii="Times New Roman" w:hAnsi="Times New Roman"/>
          <w:sz w:val="20"/>
          <w:szCs w:val="20"/>
        </w:rPr>
        <w:t>and</w:t>
      </w:r>
      <w:r w:rsidR="00DA10EF" w:rsidRPr="008B1FB7">
        <w:rPr>
          <w:rFonts w:ascii="Times New Roman" w:hAnsi="Times New Roman"/>
          <w:sz w:val="20"/>
          <w:szCs w:val="20"/>
        </w:rPr>
        <w:t xml:space="preserve"> understand</w:t>
      </w:r>
      <w:r w:rsidR="00E9715E" w:rsidRPr="008B1FB7">
        <w:rPr>
          <w:rFonts w:ascii="Times New Roman" w:hAnsi="Times New Roman"/>
          <w:sz w:val="20"/>
          <w:szCs w:val="20"/>
        </w:rPr>
        <w:t xml:space="preserve">. We </w:t>
      </w:r>
      <w:r w:rsidR="00DA10EF" w:rsidRPr="008B1FB7">
        <w:rPr>
          <w:rFonts w:ascii="Times New Roman" w:hAnsi="Times New Roman"/>
          <w:sz w:val="20"/>
          <w:szCs w:val="20"/>
        </w:rPr>
        <w:t>suggest</w:t>
      </w:r>
      <w:r w:rsidR="00AC4572" w:rsidRPr="008B1FB7">
        <w:rPr>
          <w:rFonts w:ascii="Times New Roman" w:hAnsi="Times New Roman"/>
          <w:sz w:val="20"/>
          <w:szCs w:val="20"/>
        </w:rPr>
        <w:t xml:space="preserve"> revising</w:t>
      </w:r>
      <w:r w:rsidR="00E9715E" w:rsidRPr="008B1FB7">
        <w:rPr>
          <w:rFonts w:ascii="Times New Roman" w:hAnsi="Times New Roman"/>
          <w:sz w:val="20"/>
          <w:szCs w:val="20"/>
        </w:rPr>
        <w:t xml:space="preserve"> the entire paragraph 606-10</w:t>
      </w:r>
      <w:r w:rsidR="00465434" w:rsidRPr="008B1FB7">
        <w:rPr>
          <w:rFonts w:ascii="Times New Roman" w:hAnsi="Times New Roman"/>
          <w:sz w:val="20"/>
          <w:szCs w:val="20"/>
        </w:rPr>
        <w:t>-50-14</w:t>
      </w:r>
      <w:r w:rsidR="00AC4572" w:rsidRPr="008B1FB7">
        <w:rPr>
          <w:rFonts w:ascii="Times New Roman" w:hAnsi="Times New Roman"/>
          <w:sz w:val="20"/>
          <w:szCs w:val="20"/>
        </w:rPr>
        <w:t xml:space="preserve"> to</w:t>
      </w:r>
      <w:r w:rsidR="00465434" w:rsidRPr="008B1FB7">
        <w:rPr>
          <w:rFonts w:ascii="Times New Roman" w:hAnsi="Times New Roman"/>
          <w:sz w:val="20"/>
          <w:szCs w:val="20"/>
        </w:rPr>
        <w:t xml:space="preserve"> provide clarity </w:t>
      </w:r>
      <w:r w:rsidR="00DA10EF" w:rsidRPr="008B1FB7">
        <w:rPr>
          <w:rFonts w:ascii="Times New Roman" w:hAnsi="Times New Roman"/>
          <w:sz w:val="20"/>
          <w:szCs w:val="20"/>
        </w:rPr>
        <w:t>and understandability</w:t>
      </w:r>
      <w:r w:rsidR="00465434" w:rsidRPr="008B1FB7">
        <w:rPr>
          <w:rFonts w:ascii="Times New Roman" w:hAnsi="Times New Roman"/>
          <w:sz w:val="20"/>
          <w:szCs w:val="20"/>
        </w:rPr>
        <w:t>.</w:t>
      </w:r>
    </w:p>
    <w:p w14:paraId="71A8C88E" w14:textId="75A313A8" w:rsidR="000A0340" w:rsidRPr="008B1FB7" w:rsidRDefault="00AC4572" w:rsidP="00EF0D61">
      <w:pPr>
        <w:ind w:left="720"/>
        <w:jc w:val="both"/>
        <w:rPr>
          <w:rFonts w:ascii="Times New Roman" w:hAnsi="Times New Roman"/>
          <w:i/>
          <w:sz w:val="20"/>
          <w:szCs w:val="20"/>
        </w:rPr>
      </w:pPr>
      <w:r w:rsidRPr="008B1FB7">
        <w:rPr>
          <w:rFonts w:ascii="Times New Roman" w:hAnsi="Times New Roman"/>
          <w:sz w:val="20"/>
          <w:szCs w:val="20"/>
        </w:rPr>
        <w:t xml:space="preserve">We </w:t>
      </w:r>
      <w:r w:rsidR="000A0340" w:rsidRPr="008B1FB7">
        <w:rPr>
          <w:rFonts w:ascii="Times New Roman" w:hAnsi="Times New Roman"/>
          <w:sz w:val="20"/>
          <w:szCs w:val="20"/>
        </w:rPr>
        <w:t xml:space="preserve">believe that the proposed amendments would reduce the </w:t>
      </w:r>
      <w:r w:rsidRPr="008B1FB7">
        <w:rPr>
          <w:rFonts w:ascii="Times New Roman" w:hAnsi="Times New Roman"/>
          <w:sz w:val="20"/>
          <w:szCs w:val="20"/>
        </w:rPr>
        <w:t>cost and complexity of applying ASC 606</w:t>
      </w:r>
      <w:r w:rsidR="000A0340" w:rsidRPr="008B1FB7">
        <w:rPr>
          <w:rFonts w:ascii="Times New Roman" w:hAnsi="Times New Roman"/>
          <w:i/>
          <w:sz w:val="20"/>
          <w:szCs w:val="20"/>
        </w:rPr>
        <w:t>.</w:t>
      </w:r>
    </w:p>
    <w:p w14:paraId="5521D03F" w14:textId="7187B4F4" w:rsidR="001116C4" w:rsidRPr="008B1FB7" w:rsidRDefault="000E12D1" w:rsidP="000E12D1">
      <w:pPr>
        <w:ind w:left="720"/>
        <w:jc w:val="both"/>
        <w:rPr>
          <w:rFonts w:ascii="Times New Roman" w:hAnsi="Times New Roman"/>
          <w:sz w:val="20"/>
          <w:szCs w:val="20"/>
        </w:rPr>
      </w:pPr>
      <w:r w:rsidRPr="008B1FB7">
        <w:rPr>
          <w:rFonts w:ascii="Times New Roman" w:hAnsi="Times New Roman"/>
          <w:sz w:val="20"/>
          <w:szCs w:val="20"/>
        </w:rPr>
        <w:t>We do not believe there are other circumstances in which an entity would be required to estimate variable consideration for disclosure but not for purposes of recognizing revenue.</w:t>
      </w:r>
    </w:p>
    <w:p w14:paraId="5A78A157" w14:textId="5A41585D" w:rsidR="006D679B" w:rsidRPr="008B1FB7" w:rsidRDefault="006D679B" w:rsidP="00AC4572">
      <w:pPr>
        <w:pStyle w:val="ListParagraph"/>
        <w:jc w:val="both"/>
        <w:rPr>
          <w:i/>
          <w:sz w:val="20"/>
          <w:szCs w:val="20"/>
        </w:rPr>
      </w:pPr>
      <w:r w:rsidRPr="008B1FB7">
        <w:rPr>
          <w:i/>
          <w:sz w:val="20"/>
          <w:szCs w:val="20"/>
        </w:rPr>
        <w:t>Question 6: The proposed amendments to the disclosure requirement in paragraph 606-10-50-15 are intended to expand the information disclosed when</w:t>
      </w:r>
      <w:r w:rsidR="00AF6369" w:rsidRPr="008B1FB7">
        <w:rPr>
          <w:i/>
          <w:sz w:val="20"/>
          <w:szCs w:val="20"/>
        </w:rPr>
        <w:t xml:space="preserve"> </w:t>
      </w:r>
      <w:r w:rsidRPr="008B1FB7">
        <w:rPr>
          <w:i/>
          <w:sz w:val="20"/>
          <w:szCs w:val="20"/>
        </w:rPr>
        <w:t xml:space="preserve">an entity applies one or more of the practical expedients in paragraphs 606-10-50-14 through 50-14A. Do you agree with the proposed amendments? If not, what information should an entity </w:t>
      </w:r>
      <w:proofErr w:type="gramStart"/>
      <w:r w:rsidRPr="008B1FB7">
        <w:rPr>
          <w:i/>
          <w:sz w:val="20"/>
          <w:szCs w:val="20"/>
        </w:rPr>
        <w:t>be</w:t>
      </w:r>
      <w:proofErr w:type="gramEnd"/>
      <w:r w:rsidRPr="008B1FB7">
        <w:rPr>
          <w:i/>
          <w:sz w:val="20"/>
          <w:szCs w:val="20"/>
        </w:rPr>
        <w:t xml:space="preserve"> required to disclose about its remaining performance obligations when one or more of the practical expedients are applied? (Issue 6)</w:t>
      </w:r>
    </w:p>
    <w:p w14:paraId="3088EDF9" w14:textId="77777777" w:rsidR="00AF6369" w:rsidRPr="008B1FB7" w:rsidRDefault="00AF6369" w:rsidP="00AF6369">
      <w:pPr>
        <w:pStyle w:val="ListParagraph"/>
        <w:rPr>
          <w:sz w:val="20"/>
          <w:szCs w:val="20"/>
        </w:rPr>
      </w:pPr>
    </w:p>
    <w:p w14:paraId="17E7BEA1" w14:textId="138B04C4" w:rsidR="00AF6369" w:rsidRPr="008B1FB7" w:rsidRDefault="000E12D1" w:rsidP="000E12D1">
      <w:pPr>
        <w:ind w:left="720"/>
        <w:jc w:val="both"/>
        <w:rPr>
          <w:rFonts w:ascii="Times New Roman" w:hAnsi="Times New Roman"/>
          <w:sz w:val="20"/>
          <w:szCs w:val="20"/>
        </w:rPr>
      </w:pPr>
      <w:r w:rsidRPr="008B1FB7">
        <w:rPr>
          <w:rFonts w:ascii="Times New Roman" w:hAnsi="Times New Roman"/>
          <w:sz w:val="20"/>
          <w:szCs w:val="20"/>
        </w:rPr>
        <w:t>We agree</w:t>
      </w:r>
      <w:r w:rsidR="006A158C" w:rsidRPr="008B1FB7">
        <w:rPr>
          <w:rFonts w:ascii="Times New Roman" w:hAnsi="Times New Roman"/>
          <w:sz w:val="20"/>
          <w:szCs w:val="20"/>
        </w:rPr>
        <w:t xml:space="preserve"> with the proposed amendments</w:t>
      </w:r>
      <w:r w:rsidRPr="008B1FB7">
        <w:rPr>
          <w:rFonts w:ascii="Times New Roman" w:hAnsi="Times New Roman"/>
          <w:sz w:val="20"/>
          <w:szCs w:val="20"/>
        </w:rPr>
        <w:t>.</w:t>
      </w:r>
    </w:p>
    <w:p w14:paraId="60D27460" w14:textId="77777777" w:rsidR="006D679B" w:rsidRPr="008B1FB7" w:rsidRDefault="006D679B" w:rsidP="00AC4572">
      <w:pPr>
        <w:pStyle w:val="ListParagraph"/>
        <w:jc w:val="both"/>
        <w:rPr>
          <w:i/>
          <w:sz w:val="20"/>
          <w:szCs w:val="20"/>
        </w:rPr>
      </w:pPr>
      <w:r w:rsidRPr="008B1FB7">
        <w:rPr>
          <w:i/>
          <w:sz w:val="20"/>
          <w:szCs w:val="20"/>
        </w:rPr>
        <w:t>Question 7: While not proposed in this Exposure Draft, should an entity that applies one or more of the practical expedients to the disclosure of remaining performance obligations be required to disclose the amounts of variable and fixed consideration recognized in current-period revenue for contracts to which the entity applies one or more of the practical expedients? What would be the costs associated with including that disclosure? Would that disclosure provide useful information? Also, should an entity that applies one or more of the practical expedients be required to disclose information (for example, remaining contract duration) about each major customer as that term is used in Topic 280, Segment Reporting (that is, customers with revenue equal to or greater than 10 percent of total revenue)? (Issue 6)</w:t>
      </w:r>
    </w:p>
    <w:p w14:paraId="346C1F5C" w14:textId="77777777" w:rsidR="00F839B6" w:rsidRPr="008B1FB7" w:rsidRDefault="00F839B6" w:rsidP="00AC4572">
      <w:pPr>
        <w:pStyle w:val="ListParagraph"/>
        <w:rPr>
          <w:sz w:val="20"/>
          <w:szCs w:val="20"/>
        </w:rPr>
      </w:pPr>
    </w:p>
    <w:p w14:paraId="3DF828CD" w14:textId="3D995E03" w:rsidR="00C65DB8" w:rsidRPr="008B1FB7" w:rsidRDefault="003A397A" w:rsidP="00C65DB8">
      <w:pPr>
        <w:ind w:left="720"/>
        <w:jc w:val="both"/>
        <w:rPr>
          <w:rFonts w:ascii="Times New Roman" w:hAnsi="Times New Roman"/>
          <w:sz w:val="20"/>
          <w:szCs w:val="20"/>
        </w:rPr>
      </w:pPr>
      <w:r w:rsidRPr="008B1FB7">
        <w:rPr>
          <w:rFonts w:ascii="Times New Roman" w:hAnsi="Times New Roman"/>
          <w:sz w:val="20"/>
          <w:szCs w:val="20"/>
        </w:rPr>
        <w:t>We</w:t>
      </w:r>
      <w:r w:rsidR="006A158C" w:rsidRPr="008B1FB7">
        <w:rPr>
          <w:rFonts w:ascii="Times New Roman" w:hAnsi="Times New Roman"/>
          <w:sz w:val="20"/>
          <w:szCs w:val="20"/>
        </w:rPr>
        <w:t xml:space="preserve"> believe</w:t>
      </w:r>
      <w:r w:rsidRPr="008B1FB7">
        <w:rPr>
          <w:rFonts w:ascii="Times New Roman" w:hAnsi="Times New Roman"/>
          <w:sz w:val="20"/>
          <w:szCs w:val="20"/>
        </w:rPr>
        <w:t xml:space="preserve"> an entity that applies one or more of the practical expedients to the disclosure of remaining performance obligations </w:t>
      </w:r>
      <w:r w:rsidR="002B1E4A" w:rsidRPr="008B1FB7">
        <w:rPr>
          <w:rFonts w:ascii="Times New Roman" w:hAnsi="Times New Roman"/>
          <w:sz w:val="20"/>
          <w:szCs w:val="20"/>
        </w:rPr>
        <w:t xml:space="preserve">should </w:t>
      </w:r>
      <w:r w:rsidRPr="008B1FB7">
        <w:rPr>
          <w:rFonts w:ascii="Times New Roman" w:hAnsi="Times New Roman"/>
          <w:sz w:val="20"/>
          <w:szCs w:val="20"/>
        </w:rPr>
        <w:t xml:space="preserve">be required to disclose the amounts of variable and fixed consideration recognized in current-period revenue for contracts to which the entity applies one or more of the practical expedients, such that consistency and comparability of disclosures year-over-year is achieved. The costs incurred versus benefits achieved will be dependent on the size of the contracts involved and complexity of the </w:t>
      </w:r>
      <w:r w:rsidR="006E4B69" w:rsidRPr="008B1FB7">
        <w:rPr>
          <w:rFonts w:ascii="Times New Roman" w:hAnsi="Times New Roman"/>
          <w:sz w:val="20"/>
          <w:szCs w:val="20"/>
        </w:rPr>
        <w:t xml:space="preserve">variable </w:t>
      </w:r>
      <w:r w:rsidR="006A158C" w:rsidRPr="008B1FB7">
        <w:rPr>
          <w:rFonts w:ascii="Times New Roman" w:hAnsi="Times New Roman"/>
          <w:sz w:val="20"/>
          <w:szCs w:val="20"/>
        </w:rPr>
        <w:t>consideration included. We believe</w:t>
      </w:r>
      <w:r w:rsidR="006E4B69" w:rsidRPr="008B1FB7">
        <w:rPr>
          <w:rFonts w:ascii="Times New Roman" w:hAnsi="Times New Roman"/>
          <w:sz w:val="20"/>
          <w:szCs w:val="20"/>
        </w:rPr>
        <w:t xml:space="preserve"> that the disclosure</w:t>
      </w:r>
      <w:r w:rsidR="006A158C" w:rsidRPr="008B1FB7">
        <w:rPr>
          <w:rFonts w:ascii="Times New Roman" w:hAnsi="Times New Roman"/>
          <w:sz w:val="20"/>
          <w:szCs w:val="20"/>
        </w:rPr>
        <w:t xml:space="preserve"> would</w:t>
      </w:r>
      <w:r w:rsidR="006E4B69" w:rsidRPr="008B1FB7">
        <w:rPr>
          <w:rFonts w:ascii="Times New Roman" w:hAnsi="Times New Roman"/>
          <w:sz w:val="20"/>
          <w:szCs w:val="20"/>
        </w:rPr>
        <w:t xml:space="preserve"> provide useful information.</w:t>
      </w:r>
    </w:p>
    <w:p w14:paraId="41038BE4" w14:textId="77777777" w:rsidR="00913F17" w:rsidRPr="008B1FB7" w:rsidRDefault="00913F17" w:rsidP="007923B5">
      <w:pPr>
        <w:spacing w:after="0" w:line="240" w:lineRule="auto"/>
        <w:jc w:val="both"/>
        <w:rPr>
          <w:rFonts w:ascii="Times New Roman" w:hAnsi="Times New Roman"/>
          <w:sz w:val="20"/>
          <w:szCs w:val="20"/>
        </w:rPr>
      </w:pPr>
    </w:p>
    <w:p w14:paraId="401A7582" w14:textId="77777777" w:rsidR="00C07D21" w:rsidRPr="008B1FB7" w:rsidRDefault="00C07D21" w:rsidP="00C07D21">
      <w:pPr>
        <w:jc w:val="both"/>
        <w:rPr>
          <w:rFonts w:ascii="Times New Roman" w:hAnsi="Times New Roman"/>
          <w:sz w:val="20"/>
          <w:szCs w:val="20"/>
        </w:rPr>
      </w:pPr>
      <w:r w:rsidRPr="008B1FB7">
        <w:rPr>
          <w:rFonts w:ascii="Times New Roman" w:hAnsi="Times New Roman"/>
          <w:sz w:val="20"/>
          <w:szCs w:val="20"/>
        </w:rPr>
        <w:t>We appreciate the opportunity to offer our comments.</w:t>
      </w:r>
    </w:p>
    <w:p w14:paraId="521AC13C" w14:textId="77777777" w:rsidR="00C07D21" w:rsidRPr="008B1FB7" w:rsidRDefault="00C07D21" w:rsidP="00C07D21">
      <w:pPr>
        <w:jc w:val="both"/>
        <w:rPr>
          <w:rFonts w:ascii="Times New Roman" w:hAnsi="Times New Roman"/>
          <w:sz w:val="20"/>
          <w:szCs w:val="20"/>
        </w:rPr>
      </w:pPr>
      <w:r w:rsidRPr="008B1FB7">
        <w:rPr>
          <w:rFonts w:ascii="Times New Roman" w:hAnsi="Times New Roman"/>
          <w:sz w:val="20"/>
          <w:szCs w:val="20"/>
        </w:rPr>
        <w:t>Sincerely,</w:t>
      </w:r>
    </w:p>
    <w:p w14:paraId="6773FFCC" w14:textId="77777777" w:rsidR="00C07D21" w:rsidRPr="008B1FB7" w:rsidRDefault="00C07D21" w:rsidP="00C07D21">
      <w:pPr>
        <w:jc w:val="both"/>
        <w:rPr>
          <w:rFonts w:ascii="Times New Roman" w:hAnsi="Times New Roman"/>
          <w:sz w:val="20"/>
          <w:szCs w:val="20"/>
        </w:rPr>
      </w:pPr>
    </w:p>
    <w:p w14:paraId="68292F9D" w14:textId="7E14DF09" w:rsidR="00C07D21" w:rsidRPr="008B1FB7" w:rsidRDefault="0062628D" w:rsidP="00C07D21">
      <w:pPr>
        <w:rPr>
          <w:rFonts w:ascii="Times New Roman" w:hAnsi="Times New Roman"/>
          <w:sz w:val="20"/>
          <w:szCs w:val="20"/>
        </w:rPr>
      </w:pPr>
      <w:r w:rsidRPr="008B1FB7">
        <w:rPr>
          <w:rFonts w:ascii="Times New Roman" w:hAnsi="Times New Roman"/>
          <w:b/>
          <w:bCs/>
          <w:sz w:val="20"/>
          <w:szCs w:val="20"/>
        </w:rPr>
        <w:t>Ryan Brady</w:t>
      </w:r>
      <w:r w:rsidR="00C07D21" w:rsidRPr="008B1FB7">
        <w:rPr>
          <w:rFonts w:ascii="Times New Roman" w:hAnsi="Times New Roman"/>
          <w:b/>
          <w:bCs/>
          <w:sz w:val="20"/>
          <w:szCs w:val="20"/>
        </w:rPr>
        <w:t>, CPA</w:t>
      </w:r>
      <w:r w:rsidR="00C07D21" w:rsidRPr="008B1FB7">
        <w:rPr>
          <w:rFonts w:ascii="Times New Roman" w:hAnsi="Times New Roman"/>
          <w:sz w:val="20"/>
          <w:szCs w:val="20"/>
        </w:rPr>
        <w:br/>
        <w:t>Chair, Accounting Principles Committee</w:t>
      </w:r>
    </w:p>
    <w:p w14:paraId="6E3198B2" w14:textId="77777777" w:rsidR="005838C5" w:rsidRPr="008B1FB7" w:rsidRDefault="0062628D" w:rsidP="005838C5">
      <w:pPr>
        <w:rPr>
          <w:rFonts w:ascii="Times New Roman" w:hAnsi="Times New Roman"/>
          <w:sz w:val="20"/>
          <w:szCs w:val="20"/>
        </w:rPr>
      </w:pPr>
      <w:r w:rsidRPr="008B1FB7">
        <w:rPr>
          <w:rFonts w:ascii="Times New Roman" w:hAnsi="Times New Roman"/>
          <w:b/>
          <w:bCs/>
          <w:sz w:val="20"/>
          <w:szCs w:val="20"/>
        </w:rPr>
        <w:t>Brian Kot</w:t>
      </w:r>
      <w:r w:rsidR="00C07D21" w:rsidRPr="008B1FB7">
        <w:rPr>
          <w:rFonts w:ascii="Times New Roman" w:hAnsi="Times New Roman"/>
          <w:b/>
          <w:bCs/>
          <w:sz w:val="20"/>
          <w:szCs w:val="20"/>
        </w:rPr>
        <w:t>, CPA</w:t>
      </w:r>
      <w:r w:rsidR="00E83DC2" w:rsidRPr="008B1FB7">
        <w:rPr>
          <w:rFonts w:ascii="Times New Roman" w:hAnsi="Times New Roman"/>
          <w:sz w:val="20"/>
          <w:szCs w:val="20"/>
        </w:rPr>
        <w:br/>
        <w:t>Vice C</w:t>
      </w:r>
      <w:r w:rsidR="00C07D21" w:rsidRPr="008B1FB7">
        <w:rPr>
          <w:rFonts w:ascii="Times New Roman" w:hAnsi="Times New Roman"/>
          <w:sz w:val="20"/>
          <w:szCs w:val="20"/>
        </w:rPr>
        <w:t>hair, Accounting Principles Committee</w:t>
      </w:r>
    </w:p>
    <w:p w14:paraId="2AF5DD4C" w14:textId="7FBBE803" w:rsidR="005838C5" w:rsidRPr="001077B6" w:rsidRDefault="00483CC0" w:rsidP="005838C5">
      <w:pPr>
        <w:jc w:val="center"/>
        <w:rPr>
          <w:sz w:val="18"/>
          <w:szCs w:val="18"/>
        </w:rPr>
      </w:pPr>
      <w:bookmarkStart w:id="0" w:name="_GoBack"/>
      <w:bookmarkEnd w:id="0"/>
      <w:r>
        <w:br w:type="page"/>
      </w:r>
      <w:r w:rsidR="005838C5" w:rsidRPr="001077B6">
        <w:rPr>
          <w:sz w:val="18"/>
          <w:szCs w:val="18"/>
        </w:rPr>
        <w:lastRenderedPageBreak/>
        <w:t>APPENDIX A</w:t>
      </w:r>
    </w:p>
    <w:p w14:paraId="35376C73" w14:textId="77777777" w:rsidR="005838C5" w:rsidRPr="001077B6" w:rsidRDefault="005838C5" w:rsidP="005838C5">
      <w:pPr>
        <w:tabs>
          <w:tab w:val="center" w:pos="4680"/>
        </w:tabs>
        <w:suppressAutoHyphens/>
        <w:spacing w:after="0"/>
        <w:jc w:val="center"/>
        <w:rPr>
          <w:sz w:val="18"/>
          <w:szCs w:val="18"/>
        </w:rPr>
      </w:pPr>
      <w:r w:rsidRPr="001077B6">
        <w:rPr>
          <w:sz w:val="18"/>
          <w:szCs w:val="18"/>
        </w:rPr>
        <w:t>ACCOUNTING PRINCIPLES COMMITTEE</w:t>
      </w:r>
    </w:p>
    <w:p w14:paraId="2A484854" w14:textId="77777777" w:rsidR="005838C5" w:rsidRPr="001077B6" w:rsidRDefault="005838C5" w:rsidP="005838C5">
      <w:pPr>
        <w:tabs>
          <w:tab w:val="center" w:pos="4680"/>
        </w:tabs>
        <w:suppressAutoHyphens/>
        <w:spacing w:after="0"/>
        <w:jc w:val="center"/>
        <w:rPr>
          <w:sz w:val="18"/>
          <w:szCs w:val="18"/>
        </w:rPr>
      </w:pPr>
      <w:r w:rsidRPr="001077B6">
        <w:rPr>
          <w:sz w:val="18"/>
          <w:szCs w:val="18"/>
        </w:rPr>
        <w:t>ORGANIZATION AND OPERATING PROCEDURES</w:t>
      </w:r>
    </w:p>
    <w:p w14:paraId="320B7C1C" w14:textId="77777777" w:rsidR="005838C5" w:rsidRPr="001077B6" w:rsidRDefault="005838C5" w:rsidP="005838C5">
      <w:pPr>
        <w:tabs>
          <w:tab w:val="center" w:pos="4680"/>
        </w:tabs>
        <w:suppressAutoHyphens/>
        <w:spacing w:after="0"/>
        <w:jc w:val="center"/>
        <w:rPr>
          <w:sz w:val="18"/>
          <w:szCs w:val="18"/>
        </w:rPr>
      </w:pPr>
      <w:r w:rsidRPr="001077B6">
        <w:rPr>
          <w:sz w:val="18"/>
          <w:szCs w:val="18"/>
        </w:rPr>
        <w:t>201</w:t>
      </w:r>
      <w:r>
        <w:rPr>
          <w:sz w:val="18"/>
          <w:szCs w:val="18"/>
        </w:rPr>
        <w:t>6-2017</w:t>
      </w:r>
    </w:p>
    <w:p w14:paraId="7DA4FD7C" w14:textId="77777777" w:rsidR="005838C5" w:rsidRPr="001077B6" w:rsidRDefault="005838C5" w:rsidP="005838C5">
      <w:pPr>
        <w:tabs>
          <w:tab w:val="center" w:pos="4680"/>
        </w:tabs>
        <w:suppressAutoHyphens/>
        <w:spacing w:after="0"/>
        <w:jc w:val="center"/>
        <w:rPr>
          <w:sz w:val="24"/>
          <w:szCs w:val="24"/>
        </w:rPr>
      </w:pPr>
    </w:p>
    <w:p w14:paraId="3D9D6A8B" w14:textId="77777777" w:rsidR="005838C5" w:rsidRPr="00075D65" w:rsidRDefault="005838C5" w:rsidP="005838C5">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5B0D30EF" w14:textId="77777777" w:rsidR="005838C5" w:rsidRPr="001077B6" w:rsidRDefault="005838C5" w:rsidP="005838C5">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241B23E2"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Public Accounting Firms:</w:t>
      </w:r>
    </w:p>
    <w:p w14:paraId="403C4D86"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6476DEE6" w14:textId="77777777" w:rsidR="005838C5"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3F5219DC" w14:textId="77777777" w:rsidR="005838C5" w:rsidRPr="00137076"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BB6F3DF" w14:textId="77777777" w:rsidR="005838C5"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4B6A1E1" w14:textId="77777777" w:rsidR="005838C5" w:rsidRPr="00137076"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2D6D15D9" w14:textId="78DDC092" w:rsidR="005838C5" w:rsidRPr="00137076" w:rsidRDefault="005838C5" w:rsidP="005838C5">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 xml:space="preserve">Mowery &amp; </w:t>
      </w:r>
      <w:proofErr w:type="spellStart"/>
      <w:r w:rsidRPr="00137076">
        <w:rPr>
          <w:spacing w:val="-3"/>
          <w:sz w:val="18"/>
          <w:szCs w:val="18"/>
        </w:rPr>
        <w:t>Schoenfeld</w:t>
      </w:r>
      <w:proofErr w:type="spellEnd"/>
      <w:r w:rsidRPr="00137076">
        <w:rPr>
          <w:spacing w:val="-3"/>
          <w:sz w:val="18"/>
          <w:szCs w:val="18"/>
        </w:rPr>
        <w:t xml:space="preserve">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w:t>
      </w:r>
      <w:proofErr w:type="spellStart"/>
      <w:r w:rsidRPr="00137076">
        <w:rPr>
          <w:spacing w:val="-3"/>
          <w:sz w:val="18"/>
          <w:szCs w:val="18"/>
        </w:rPr>
        <w:t>Reicin</w:t>
      </w:r>
      <w:proofErr w:type="spellEnd"/>
      <w:r w:rsidRPr="00137076">
        <w:rPr>
          <w:spacing w:val="-3"/>
          <w:sz w:val="18"/>
          <w:szCs w:val="18"/>
        </w:rPr>
        <w:t xml:space="preserve">,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w:t>
      </w:r>
      <w:r w:rsidRPr="00137076">
        <w:rPr>
          <w:spacing w:val="-3"/>
          <w:sz w:val="18"/>
          <w:szCs w:val="18"/>
        </w:rPr>
        <w:t>Joshua  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4CEBE8E4" w14:textId="77777777" w:rsidR="005838C5" w:rsidRDefault="005838C5" w:rsidP="005838C5">
      <w:pPr>
        <w:tabs>
          <w:tab w:val="left" w:pos="-720"/>
        </w:tabs>
        <w:suppressAutoHyphens/>
        <w:spacing w:after="0"/>
        <w:jc w:val="both"/>
        <w:rPr>
          <w:b/>
          <w:spacing w:val="-3"/>
          <w:sz w:val="18"/>
          <w:szCs w:val="18"/>
        </w:rPr>
      </w:pPr>
      <w:r>
        <w:rPr>
          <w:b/>
          <w:spacing w:val="-3"/>
          <w:sz w:val="18"/>
          <w:szCs w:val="18"/>
        </w:rPr>
        <w:t>Educators:</w:t>
      </w:r>
    </w:p>
    <w:p w14:paraId="11526279" w14:textId="77777777" w:rsidR="005838C5" w:rsidRPr="00137076" w:rsidRDefault="005838C5" w:rsidP="005838C5">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20988829" w14:textId="77777777" w:rsidR="005838C5" w:rsidRDefault="005838C5" w:rsidP="005838C5">
      <w:pPr>
        <w:tabs>
          <w:tab w:val="left" w:pos="-720"/>
        </w:tabs>
        <w:suppressAutoHyphens/>
        <w:spacing w:after="0"/>
        <w:jc w:val="both"/>
        <w:rPr>
          <w:b/>
          <w:spacing w:val="-3"/>
          <w:sz w:val="18"/>
          <w:szCs w:val="18"/>
        </w:rPr>
      </w:pPr>
    </w:p>
    <w:p w14:paraId="16AC5C52" w14:textId="77777777" w:rsidR="005838C5" w:rsidRPr="00137076" w:rsidRDefault="005838C5" w:rsidP="005838C5">
      <w:pPr>
        <w:tabs>
          <w:tab w:val="left" w:pos="-720"/>
        </w:tabs>
        <w:suppressAutoHyphens/>
        <w:spacing w:after="0"/>
        <w:jc w:val="both"/>
        <w:rPr>
          <w:b/>
          <w:spacing w:val="-3"/>
          <w:sz w:val="18"/>
          <w:szCs w:val="18"/>
        </w:rPr>
      </w:pPr>
      <w:r w:rsidRPr="00137076">
        <w:rPr>
          <w:b/>
          <w:spacing w:val="-3"/>
          <w:sz w:val="18"/>
          <w:szCs w:val="18"/>
        </w:rPr>
        <w:t>Industry:</w:t>
      </w:r>
    </w:p>
    <w:p w14:paraId="6D5E7DF1" w14:textId="5C03092E"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sidR="00A84C14">
        <w:rPr>
          <w:spacing w:val="-3"/>
          <w:sz w:val="18"/>
          <w:szCs w:val="18"/>
        </w:rPr>
        <w:t>Mattersight</w:t>
      </w:r>
      <w:proofErr w:type="spellEnd"/>
      <w:r w:rsidR="00A84C14">
        <w:rPr>
          <w:spacing w:val="-3"/>
          <w:sz w:val="18"/>
          <w:szCs w:val="18"/>
        </w:rPr>
        <w:t xml:space="preserve"> Corp.</w:t>
      </w:r>
    </w:p>
    <w:p w14:paraId="5D1283AE"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A52913D"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r>
      <w:proofErr w:type="gramStart"/>
      <w:r>
        <w:rPr>
          <w:spacing w:val="-3"/>
          <w:sz w:val="18"/>
          <w:szCs w:val="18"/>
        </w:rPr>
        <w:t>Jeffrey Ellis, CPA</w:t>
      </w:r>
      <w:r>
        <w:rPr>
          <w:spacing w:val="-3"/>
          <w:sz w:val="18"/>
          <w:szCs w:val="18"/>
        </w:rPr>
        <w:tab/>
      </w:r>
      <w:r>
        <w:rPr>
          <w:spacing w:val="-3"/>
          <w:sz w:val="18"/>
          <w:szCs w:val="18"/>
        </w:rPr>
        <w:tab/>
      </w:r>
      <w:r>
        <w:rPr>
          <w:spacing w:val="-3"/>
          <w:sz w:val="18"/>
          <w:szCs w:val="18"/>
        </w:rPr>
        <w:tab/>
        <w:t>FTI Consulting, Inc.</w:t>
      </w:r>
      <w:proofErr w:type="gramEnd"/>
      <w:r>
        <w:rPr>
          <w:spacing w:val="-3"/>
          <w:sz w:val="18"/>
          <w:szCs w:val="18"/>
        </w:rPr>
        <w:t xml:space="preserve"> </w:t>
      </w:r>
      <w:r w:rsidRPr="00137076">
        <w:rPr>
          <w:spacing w:val="-3"/>
          <w:sz w:val="18"/>
          <w:szCs w:val="18"/>
        </w:rPr>
        <w:tab/>
      </w:r>
    </w:p>
    <w:p w14:paraId="3C9AA1A2" w14:textId="77777777"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1337A0D7" w14:textId="6728DCED" w:rsidR="005838C5" w:rsidRPr="00137076" w:rsidRDefault="005838C5" w:rsidP="005838C5">
      <w:pPr>
        <w:ind w:left="360"/>
        <w:rPr>
          <w:spacing w:val="-3"/>
          <w:sz w:val="18"/>
          <w:szCs w:val="18"/>
        </w:rPr>
      </w:pPr>
      <w:proofErr w:type="gramStart"/>
      <w:r w:rsidRPr="00137076">
        <w:rPr>
          <w:spacing w:val="-3"/>
          <w:sz w:val="18"/>
          <w:szCs w:val="18"/>
        </w:rPr>
        <w:t>Marianne  Lorenz</w:t>
      </w:r>
      <w:proofErr w:type="gramEnd"/>
      <w:r w:rsidRPr="00137076">
        <w:rPr>
          <w:spacing w:val="-3"/>
          <w:sz w:val="18"/>
          <w:szCs w:val="18"/>
        </w:rPr>
        <w:t>,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t>AGL Resources Inc.</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r>
      <w:r w:rsidR="00A84C14">
        <w:rPr>
          <w:spacing w:val="-3"/>
          <w:sz w:val="18"/>
          <w:szCs w:val="18"/>
        </w:rPr>
        <w:t>Reynolds Group Holdings</w:t>
      </w:r>
    </w:p>
    <w:p w14:paraId="58221B8A" w14:textId="77777777" w:rsidR="005838C5" w:rsidRPr="00137076" w:rsidRDefault="005838C5" w:rsidP="005838C5">
      <w:pPr>
        <w:tabs>
          <w:tab w:val="left" w:pos="360"/>
          <w:tab w:val="left" w:pos="4230"/>
        </w:tabs>
        <w:spacing w:after="0"/>
        <w:rPr>
          <w:b/>
          <w:sz w:val="18"/>
          <w:szCs w:val="18"/>
        </w:rPr>
      </w:pPr>
      <w:r w:rsidRPr="00137076">
        <w:rPr>
          <w:b/>
          <w:sz w:val="18"/>
          <w:szCs w:val="18"/>
        </w:rPr>
        <w:t>Staff Representative:</w:t>
      </w:r>
    </w:p>
    <w:p w14:paraId="2F876941" w14:textId="77777777" w:rsidR="005838C5" w:rsidRPr="00B36A5E" w:rsidRDefault="005838C5" w:rsidP="005838C5">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0F149991" w14:textId="5691B6B9" w:rsidR="00C07D21" w:rsidRPr="0097339A" w:rsidRDefault="00C07D21">
      <w:pPr>
        <w:rPr>
          <w:rFonts w:ascii="Times New Roman" w:hAnsi="Times New Roman"/>
        </w:rPr>
      </w:pPr>
    </w:p>
    <w:sectPr w:rsidR="00C07D21" w:rsidRPr="0097339A" w:rsidSect="00432EC7">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282F4" w14:textId="77777777" w:rsidR="00724F3C" w:rsidRDefault="00724F3C" w:rsidP="00C07D21">
      <w:pPr>
        <w:spacing w:after="0" w:line="240" w:lineRule="auto"/>
      </w:pPr>
      <w:r>
        <w:separator/>
      </w:r>
    </w:p>
  </w:endnote>
  <w:endnote w:type="continuationSeparator" w:id="0">
    <w:p w14:paraId="53F14655" w14:textId="77777777" w:rsidR="00724F3C" w:rsidRDefault="00724F3C"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92F63" w14:textId="77777777" w:rsidR="00724F3C" w:rsidRDefault="00724F3C" w:rsidP="00C07D21">
      <w:pPr>
        <w:spacing w:after="0" w:line="240" w:lineRule="auto"/>
      </w:pPr>
      <w:r>
        <w:separator/>
      </w:r>
    </w:p>
  </w:footnote>
  <w:footnote w:type="continuationSeparator" w:id="0">
    <w:p w14:paraId="796AA5E8" w14:textId="77777777" w:rsidR="00724F3C" w:rsidRDefault="00724F3C"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E5E7" w14:textId="77777777" w:rsidR="00BA56C9" w:rsidRDefault="00BA56C9" w:rsidP="00C07D21">
    <w:pPr>
      <w:pStyle w:val="Header"/>
      <w:jc w:val="center"/>
    </w:pPr>
    <w:r>
      <w:rPr>
        <w:noProof/>
      </w:rPr>
      <w:drawing>
        <wp:inline distT="0" distB="0" distL="0" distR="0" wp14:anchorId="7E49B35E" wp14:editId="6C732870">
          <wp:extent cx="1247775" cy="1057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6DE"/>
    <w:multiLevelType w:val="hybridMultilevel"/>
    <w:tmpl w:val="8C3EBF10"/>
    <w:lvl w:ilvl="0" w:tplc="74869910">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C55EB"/>
    <w:multiLevelType w:val="hybridMultilevel"/>
    <w:tmpl w:val="DE8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6538E0"/>
    <w:multiLevelType w:val="hybridMultilevel"/>
    <w:tmpl w:val="2BCC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652743C2"/>
    <w:multiLevelType w:val="hybridMultilevel"/>
    <w:tmpl w:val="D55A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4EC1"/>
    <w:rsid w:val="0000540A"/>
    <w:rsid w:val="00007C01"/>
    <w:rsid w:val="000142EA"/>
    <w:rsid w:val="00032381"/>
    <w:rsid w:val="00036742"/>
    <w:rsid w:val="000369D7"/>
    <w:rsid w:val="00041775"/>
    <w:rsid w:val="00042A30"/>
    <w:rsid w:val="00050D70"/>
    <w:rsid w:val="00053FEF"/>
    <w:rsid w:val="00057379"/>
    <w:rsid w:val="00060B2D"/>
    <w:rsid w:val="00085888"/>
    <w:rsid w:val="0009050E"/>
    <w:rsid w:val="000A0340"/>
    <w:rsid w:val="000A2FC2"/>
    <w:rsid w:val="000A44F0"/>
    <w:rsid w:val="000A6B72"/>
    <w:rsid w:val="000D2962"/>
    <w:rsid w:val="000D4CFC"/>
    <w:rsid w:val="000D4E0A"/>
    <w:rsid w:val="000D728D"/>
    <w:rsid w:val="000D7F45"/>
    <w:rsid w:val="000E12D1"/>
    <w:rsid w:val="000F4630"/>
    <w:rsid w:val="000F4862"/>
    <w:rsid w:val="001116C4"/>
    <w:rsid w:val="0011453E"/>
    <w:rsid w:val="00116708"/>
    <w:rsid w:val="0011726D"/>
    <w:rsid w:val="00117E71"/>
    <w:rsid w:val="00120B3D"/>
    <w:rsid w:val="00124731"/>
    <w:rsid w:val="00131959"/>
    <w:rsid w:val="0013468E"/>
    <w:rsid w:val="00145DFF"/>
    <w:rsid w:val="00146D01"/>
    <w:rsid w:val="00160853"/>
    <w:rsid w:val="00164046"/>
    <w:rsid w:val="00171283"/>
    <w:rsid w:val="00171936"/>
    <w:rsid w:val="00176186"/>
    <w:rsid w:val="001832B0"/>
    <w:rsid w:val="00195790"/>
    <w:rsid w:val="001A791C"/>
    <w:rsid w:val="001B6B1A"/>
    <w:rsid w:val="001C689F"/>
    <w:rsid w:val="001D009B"/>
    <w:rsid w:val="001D229D"/>
    <w:rsid w:val="001D3215"/>
    <w:rsid w:val="001D79D0"/>
    <w:rsid w:val="001D79EE"/>
    <w:rsid w:val="001E54FB"/>
    <w:rsid w:val="00205CF6"/>
    <w:rsid w:val="00230273"/>
    <w:rsid w:val="0026355B"/>
    <w:rsid w:val="002635A4"/>
    <w:rsid w:val="00264B8B"/>
    <w:rsid w:val="00265659"/>
    <w:rsid w:val="00265C19"/>
    <w:rsid w:val="00270D5D"/>
    <w:rsid w:val="00273636"/>
    <w:rsid w:val="00274A68"/>
    <w:rsid w:val="00282AC6"/>
    <w:rsid w:val="002853F7"/>
    <w:rsid w:val="00291510"/>
    <w:rsid w:val="0029201A"/>
    <w:rsid w:val="00296D5A"/>
    <w:rsid w:val="002A0322"/>
    <w:rsid w:val="002A57B5"/>
    <w:rsid w:val="002B1E4A"/>
    <w:rsid w:val="002B3F2F"/>
    <w:rsid w:val="002C0FD7"/>
    <w:rsid w:val="002C22EC"/>
    <w:rsid w:val="002C4993"/>
    <w:rsid w:val="002C690C"/>
    <w:rsid w:val="002D74CA"/>
    <w:rsid w:val="002F69AD"/>
    <w:rsid w:val="002F745C"/>
    <w:rsid w:val="003033B8"/>
    <w:rsid w:val="00313FA0"/>
    <w:rsid w:val="003144A1"/>
    <w:rsid w:val="003402D4"/>
    <w:rsid w:val="00341352"/>
    <w:rsid w:val="0034247D"/>
    <w:rsid w:val="00347085"/>
    <w:rsid w:val="00347677"/>
    <w:rsid w:val="00347E79"/>
    <w:rsid w:val="00353E39"/>
    <w:rsid w:val="00357C92"/>
    <w:rsid w:val="003707B8"/>
    <w:rsid w:val="00380A7A"/>
    <w:rsid w:val="00395802"/>
    <w:rsid w:val="003A0467"/>
    <w:rsid w:val="003A397A"/>
    <w:rsid w:val="003C0300"/>
    <w:rsid w:val="003C7BD9"/>
    <w:rsid w:val="003F17CA"/>
    <w:rsid w:val="003F63B5"/>
    <w:rsid w:val="00404B82"/>
    <w:rsid w:val="0041714B"/>
    <w:rsid w:val="0041745C"/>
    <w:rsid w:val="00432EC7"/>
    <w:rsid w:val="00443B4B"/>
    <w:rsid w:val="00443E9E"/>
    <w:rsid w:val="00452EDD"/>
    <w:rsid w:val="00455A3C"/>
    <w:rsid w:val="00456BED"/>
    <w:rsid w:val="00462B05"/>
    <w:rsid w:val="00463AAA"/>
    <w:rsid w:val="004653E5"/>
    <w:rsid w:val="00465434"/>
    <w:rsid w:val="00476BC9"/>
    <w:rsid w:val="00483CC0"/>
    <w:rsid w:val="004843CB"/>
    <w:rsid w:val="004952E0"/>
    <w:rsid w:val="004B1968"/>
    <w:rsid w:val="004B52D3"/>
    <w:rsid w:val="004C2DCA"/>
    <w:rsid w:val="004D0A66"/>
    <w:rsid w:val="004D0B2F"/>
    <w:rsid w:val="004D0BD1"/>
    <w:rsid w:val="004D1C90"/>
    <w:rsid w:val="004E2126"/>
    <w:rsid w:val="004E2E28"/>
    <w:rsid w:val="004E4BAA"/>
    <w:rsid w:val="004E7B18"/>
    <w:rsid w:val="005079B6"/>
    <w:rsid w:val="005229F1"/>
    <w:rsid w:val="00523330"/>
    <w:rsid w:val="005251D7"/>
    <w:rsid w:val="005403FE"/>
    <w:rsid w:val="00553D03"/>
    <w:rsid w:val="00565C7C"/>
    <w:rsid w:val="00572F95"/>
    <w:rsid w:val="005838C5"/>
    <w:rsid w:val="005905DC"/>
    <w:rsid w:val="00594184"/>
    <w:rsid w:val="00594BD8"/>
    <w:rsid w:val="005969E2"/>
    <w:rsid w:val="005A168C"/>
    <w:rsid w:val="005A3670"/>
    <w:rsid w:val="005B5BDF"/>
    <w:rsid w:val="005C148C"/>
    <w:rsid w:val="005C2DB4"/>
    <w:rsid w:val="005C7777"/>
    <w:rsid w:val="005C7C74"/>
    <w:rsid w:val="005D1F31"/>
    <w:rsid w:val="005D3892"/>
    <w:rsid w:val="005D6CBB"/>
    <w:rsid w:val="005D7AD3"/>
    <w:rsid w:val="005F434F"/>
    <w:rsid w:val="005F5188"/>
    <w:rsid w:val="006013FB"/>
    <w:rsid w:val="006063A7"/>
    <w:rsid w:val="00606DCD"/>
    <w:rsid w:val="00607BE2"/>
    <w:rsid w:val="0061054B"/>
    <w:rsid w:val="0062628D"/>
    <w:rsid w:val="00626453"/>
    <w:rsid w:val="00633DD6"/>
    <w:rsid w:val="00664A66"/>
    <w:rsid w:val="00676ADA"/>
    <w:rsid w:val="00677BD2"/>
    <w:rsid w:val="00682D9C"/>
    <w:rsid w:val="00684637"/>
    <w:rsid w:val="00685277"/>
    <w:rsid w:val="00686600"/>
    <w:rsid w:val="00695769"/>
    <w:rsid w:val="0069581C"/>
    <w:rsid w:val="006A158C"/>
    <w:rsid w:val="006B0335"/>
    <w:rsid w:val="006B6654"/>
    <w:rsid w:val="006D679B"/>
    <w:rsid w:val="006D7FE5"/>
    <w:rsid w:val="006E04FA"/>
    <w:rsid w:val="006E0858"/>
    <w:rsid w:val="006E4B69"/>
    <w:rsid w:val="006E7763"/>
    <w:rsid w:val="006F5863"/>
    <w:rsid w:val="006F7427"/>
    <w:rsid w:val="00711F27"/>
    <w:rsid w:val="00714F6A"/>
    <w:rsid w:val="00723E93"/>
    <w:rsid w:val="00724F3C"/>
    <w:rsid w:val="007264C5"/>
    <w:rsid w:val="00735823"/>
    <w:rsid w:val="007615EB"/>
    <w:rsid w:val="007718DC"/>
    <w:rsid w:val="00772526"/>
    <w:rsid w:val="007923B5"/>
    <w:rsid w:val="00794A76"/>
    <w:rsid w:val="007A27DC"/>
    <w:rsid w:val="007C2442"/>
    <w:rsid w:val="007C532D"/>
    <w:rsid w:val="007D187A"/>
    <w:rsid w:val="007E3EA5"/>
    <w:rsid w:val="008023E1"/>
    <w:rsid w:val="00805A96"/>
    <w:rsid w:val="00806C94"/>
    <w:rsid w:val="008165E6"/>
    <w:rsid w:val="00837848"/>
    <w:rsid w:val="00841725"/>
    <w:rsid w:val="00852838"/>
    <w:rsid w:val="00855F73"/>
    <w:rsid w:val="00856E14"/>
    <w:rsid w:val="00867AD3"/>
    <w:rsid w:val="00874581"/>
    <w:rsid w:val="00876585"/>
    <w:rsid w:val="008806F3"/>
    <w:rsid w:val="00890128"/>
    <w:rsid w:val="008A7A30"/>
    <w:rsid w:val="008B1FB7"/>
    <w:rsid w:val="008B4D87"/>
    <w:rsid w:val="008B5F91"/>
    <w:rsid w:val="008B6B1F"/>
    <w:rsid w:val="008B6BEC"/>
    <w:rsid w:val="008C0283"/>
    <w:rsid w:val="008C45C6"/>
    <w:rsid w:val="008C58C1"/>
    <w:rsid w:val="008C7470"/>
    <w:rsid w:val="008D14B3"/>
    <w:rsid w:val="008D298F"/>
    <w:rsid w:val="008E05F5"/>
    <w:rsid w:val="00900AB6"/>
    <w:rsid w:val="00913F17"/>
    <w:rsid w:val="009140A0"/>
    <w:rsid w:val="00922646"/>
    <w:rsid w:val="009300EF"/>
    <w:rsid w:val="00946871"/>
    <w:rsid w:val="009538E7"/>
    <w:rsid w:val="00957E87"/>
    <w:rsid w:val="00966AF7"/>
    <w:rsid w:val="00971141"/>
    <w:rsid w:val="0097339A"/>
    <w:rsid w:val="009760A6"/>
    <w:rsid w:val="00980FBB"/>
    <w:rsid w:val="009848C2"/>
    <w:rsid w:val="009A171D"/>
    <w:rsid w:val="009A443F"/>
    <w:rsid w:val="009C3023"/>
    <w:rsid w:val="009C3411"/>
    <w:rsid w:val="009C59A8"/>
    <w:rsid w:val="009C69E9"/>
    <w:rsid w:val="009E263F"/>
    <w:rsid w:val="009F24C6"/>
    <w:rsid w:val="009F4010"/>
    <w:rsid w:val="009F594A"/>
    <w:rsid w:val="00A21EA6"/>
    <w:rsid w:val="00A257F0"/>
    <w:rsid w:val="00A27AFF"/>
    <w:rsid w:val="00A3597D"/>
    <w:rsid w:val="00A56155"/>
    <w:rsid w:val="00A6434A"/>
    <w:rsid w:val="00A67DA6"/>
    <w:rsid w:val="00A70655"/>
    <w:rsid w:val="00A738BE"/>
    <w:rsid w:val="00A757C6"/>
    <w:rsid w:val="00A778A2"/>
    <w:rsid w:val="00A82D39"/>
    <w:rsid w:val="00A84C14"/>
    <w:rsid w:val="00A919C6"/>
    <w:rsid w:val="00A9382B"/>
    <w:rsid w:val="00A94D81"/>
    <w:rsid w:val="00AA1ED3"/>
    <w:rsid w:val="00AB39ED"/>
    <w:rsid w:val="00AC3D7F"/>
    <w:rsid w:val="00AC4572"/>
    <w:rsid w:val="00AC6BBF"/>
    <w:rsid w:val="00AC7E85"/>
    <w:rsid w:val="00AD16B3"/>
    <w:rsid w:val="00AD359F"/>
    <w:rsid w:val="00AE1A72"/>
    <w:rsid w:val="00AE7443"/>
    <w:rsid w:val="00AF45C5"/>
    <w:rsid w:val="00AF6369"/>
    <w:rsid w:val="00B10704"/>
    <w:rsid w:val="00B2433B"/>
    <w:rsid w:val="00B45AD5"/>
    <w:rsid w:val="00B705BE"/>
    <w:rsid w:val="00B83688"/>
    <w:rsid w:val="00B85463"/>
    <w:rsid w:val="00B863A0"/>
    <w:rsid w:val="00B91204"/>
    <w:rsid w:val="00BA05C8"/>
    <w:rsid w:val="00BA2D12"/>
    <w:rsid w:val="00BA56C9"/>
    <w:rsid w:val="00BB2CA4"/>
    <w:rsid w:val="00BB4824"/>
    <w:rsid w:val="00BC32E7"/>
    <w:rsid w:val="00BC3E2D"/>
    <w:rsid w:val="00BE276E"/>
    <w:rsid w:val="00BE4AD4"/>
    <w:rsid w:val="00BE64FA"/>
    <w:rsid w:val="00BF1792"/>
    <w:rsid w:val="00C034F1"/>
    <w:rsid w:val="00C07D21"/>
    <w:rsid w:val="00C11E85"/>
    <w:rsid w:val="00C137C4"/>
    <w:rsid w:val="00C15801"/>
    <w:rsid w:val="00C2233B"/>
    <w:rsid w:val="00C354D7"/>
    <w:rsid w:val="00C35C9A"/>
    <w:rsid w:val="00C3656C"/>
    <w:rsid w:val="00C464CB"/>
    <w:rsid w:val="00C5619A"/>
    <w:rsid w:val="00C6020D"/>
    <w:rsid w:val="00C61383"/>
    <w:rsid w:val="00C62C28"/>
    <w:rsid w:val="00C65DB8"/>
    <w:rsid w:val="00C673C8"/>
    <w:rsid w:val="00C705E6"/>
    <w:rsid w:val="00C75626"/>
    <w:rsid w:val="00C859FB"/>
    <w:rsid w:val="00C95559"/>
    <w:rsid w:val="00CB47C8"/>
    <w:rsid w:val="00CC2998"/>
    <w:rsid w:val="00CC31CA"/>
    <w:rsid w:val="00CD09CF"/>
    <w:rsid w:val="00CD281E"/>
    <w:rsid w:val="00CD7707"/>
    <w:rsid w:val="00D0776B"/>
    <w:rsid w:val="00D17B17"/>
    <w:rsid w:val="00D20B0F"/>
    <w:rsid w:val="00D21131"/>
    <w:rsid w:val="00D348A1"/>
    <w:rsid w:val="00D40953"/>
    <w:rsid w:val="00D44D90"/>
    <w:rsid w:val="00D46354"/>
    <w:rsid w:val="00D54EFA"/>
    <w:rsid w:val="00D62BFB"/>
    <w:rsid w:val="00D6721D"/>
    <w:rsid w:val="00D67BFE"/>
    <w:rsid w:val="00D726DA"/>
    <w:rsid w:val="00D72765"/>
    <w:rsid w:val="00D9165B"/>
    <w:rsid w:val="00D97561"/>
    <w:rsid w:val="00DA10EF"/>
    <w:rsid w:val="00DA170D"/>
    <w:rsid w:val="00DA5FC3"/>
    <w:rsid w:val="00DA799F"/>
    <w:rsid w:val="00DB466C"/>
    <w:rsid w:val="00DB71A3"/>
    <w:rsid w:val="00DC1D5C"/>
    <w:rsid w:val="00DC5894"/>
    <w:rsid w:val="00DD54A8"/>
    <w:rsid w:val="00DD6EF3"/>
    <w:rsid w:val="00DE6BF9"/>
    <w:rsid w:val="00DE7014"/>
    <w:rsid w:val="00E03DF4"/>
    <w:rsid w:val="00E1043D"/>
    <w:rsid w:val="00E24EC3"/>
    <w:rsid w:val="00E3067E"/>
    <w:rsid w:val="00E351C7"/>
    <w:rsid w:val="00E36A30"/>
    <w:rsid w:val="00E3777E"/>
    <w:rsid w:val="00E420ED"/>
    <w:rsid w:val="00E44736"/>
    <w:rsid w:val="00E45165"/>
    <w:rsid w:val="00E57852"/>
    <w:rsid w:val="00E60C98"/>
    <w:rsid w:val="00E82E8E"/>
    <w:rsid w:val="00E83DC2"/>
    <w:rsid w:val="00E83F85"/>
    <w:rsid w:val="00E845C2"/>
    <w:rsid w:val="00E85782"/>
    <w:rsid w:val="00E9715E"/>
    <w:rsid w:val="00EA1DC9"/>
    <w:rsid w:val="00EA379E"/>
    <w:rsid w:val="00EB2335"/>
    <w:rsid w:val="00EB500C"/>
    <w:rsid w:val="00EC05AA"/>
    <w:rsid w:val="00EC0944"/>
    <w:rsid w:val="00EC4ACA"/>
    <w:rsid w:val="00EC689B"/>
    <w:rsid w:val="00ED3B04"/>
    <w:rsid w:val="00ED3E20"/>
    <w:rsid w:val="00ED693D"/>
    <w:rsid w:val="00EE14F2"/>
    <w:rsid w:val="00EE5591"/>
    <w:rsid w:val="00EF0D61"/>
    <w:rsid w:val="00EF3957"/>
    <w:rsid w:val="00F03D74"/>
    <w:rsid w:val="00F2086D"/>
    <w:rsid w:val="00F32416"/>
    <w:rsid w:val="00F35E78"/>
    <w:rsid w:val="00F42857"/>
    <w:rsid w:val="00F520E5"/>
    <w:rsid w:val="00F54F28"/>
    <w:rsid w:val="00F55887"/>
    <w:rsid w:val="00F700A9"/>
    <w:rsid w:val="00F72F83"/>
    <w:rsid w:val="00F73AB1"/>
    <w:rsid w:val="00F75081"/>
    <w:rsid w:val="00F76B0A"/>
    <w:rsid w:val="00F839B6"/>
    <w:rsid w:val="00F8600B"/>
    <w:rsid w:val="00F866D8"/>
    <w:rsid w:val="00F91EE5"/>
    <w:rsid w:val="00FA7FAA"/>
    <w:rsid w:val="00FB45AC"/>
    <w:rsid w:val="00FB7A1F"/>
    <w:rsid w:val="00FC1D27"/>
    <w:rsid w:val="00FD1042"/>
    <w:rsid w:val="00FD2460"/>
    <w:rsid w:val="00FD7B33"/>
    <w:rsid w:val="00FE7ED7"/>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semiHidden/>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21"/>
  </w:style>
  <w:style w:type="paragraph" w:styleId="Footer">
    <w:name w:val="footer"/>
    <w:basedOn w:val="Normal"/>
    <w:link w:val="FooterChar"/>
    <w:uiPriority w:val="99"/>
    <w:semiHidden/>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B863A0"/>
    <w:pPr>
      <w:spacing w:after="0"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semiHidden/>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21"/>
  </w:style>
  <w:style w:type="paragraph" w:styleId="Footer">
    <w:name w:val="footer"/>
    <w:basedOn w:val="Normal"/>
    <w:link w:val="FooterChar"/>
    <w:uiPriority w:val="99"/>
    <w:semiHidden/>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B863A0"/>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FA7C-F1C5-468A-8571-FD2BA488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4</cp:revision>
  <cp:lastPrinted>2016-06-30T11:54:00Z</cp:lastPrinted>
  <dcterms:created xsi:type="dcterms:W3CDTF">2016-07-01T15:35:00Z</dcterms:created>
  <dcterms:modified xsi:type="dcterms:W3CDTF">2016-07-01T15:36:00Z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