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B2B3" w14:textId="60050502" w:rsidR="00C07D21" w:rsidRPr="008B1FB7" w:rsidRDefault="00004EC1" w:rsidP="00C07D21">
      <w:pPr>
        <w:spacing w:after="0" w:line="240" w:lineRule="auto"/>
        <w:rPr>
          <w:rFonts w:ascii="Times New Roman" w:hAnsi="Times New Roman"/>
          <w:sz w:val="20"/>
          <w:szCs w:val="20"/>
        </w:rPr>
      </w:pPr>
      <w:r w:rsidRPr="008B1FB7">
        <w:rPr>
          <w:rFonts w:ascii="Times New Roman" w:hAnsi="Times New Roman"/>
          <w:sz w:val="20"/>
          <w:szCs w:val="20"/>
        </w:rPr>
        <w:t xml:space="preserve">July </w:t>
      </w:r>
      <w:r w:rsidR="00D051FA">
        <w:rPr>
          <w:rFonts w:ascii="Times New Roman" w:hAnsi="Times New Roman"/>
          <w:sz w:val="20"/>
          <w:szCs w:val="20"/>
        </w:rPr>
        <w:t>25</w:t>
      </w:r>
      <w:r w:rsidR="00852838" w:rsidRPr="008B1FB7">
        <w:rPr>
          <w:rFonts w:ascii="Times New Roman" w:hAnsi="Times New Roman"/>
          <w:sz w:val="20"/>
          <w:szCs w:val="20"/>
        </w:rPr>
        <w:t>, 2016</w:t>
      </w:r>
    </w:p>
    <w:p w14:paraId="5C923DD7" w14:textId="77777777" w:rsidR="00C07D21" w:rsidRPr="008B1FB7" w:rsidRDefault="00C07D21" w:rsidP="00C07D21">
      <w:pPr>
        <w:spacing w:after="0" w:line="240" w:lineRule="auto"/>
        <w:rPr>
          <w:rFonts w:ascii="Times New Roman" w:hAnsi="Times New Roman"/>
          <w:sz w:val="20"/>
          <w:szCs w:val="20"/>
        </w:rPr>
      </w:pPr>
      <w:r w:rsidRPr="008B1FB7">
        <w:rPr>
          <w:rFonts w:ascii="Times New Roman" w:hAnsi="Times New Roman"/>
          <w:sz w:val="20"/>
          <w:szCs w:val="20"/>
        </w:rPr>
        <w:br/>
        <w:t>Technical Director</w:t>
      </w:r>
      <w:r w:rsidRPr="008B1FB7">
        <w:rPr>
          <w:rFonts w:ascii="Times New Roman" w:hAnsi="Times New Roman"/>
          <w:sz w:val="20"/>
          <w:szCs w:val="20"/>
        </w:rPr>
        <w:br/>
        <w:t>Financial Accounting Standards Board</w:t>
      </w:r>
      <w:r w:rsidRPr="008B1FB7">
        <w:rPr>
          <w:rFonts w:ascii="Times New Roman" w:hAnsi="Times New Roman"/>
          <w:sz w:val="20"/>
          <w:szCs w:val="20"/>
        </w:rPr>
        <w:br/>
        <w:t>401 Merritt 7, P.O. Box 5116</w:t>
      </w:r>
    </w:p>
    <w:p w14:paraId="715B3F83" w14:textId="77777777" w:rsidR="00C07D21" w:rsidRPr="008B1FB7" w:rsidRDefault="00C07D21" w:rsidP="00C07D21">
      <w:pPr>
        <w:spacing w:after="0" w:line="240" w:lineRule="auto"/>
        <w:rPr>
          <w:rFonts w:ascii="Times New Roman" w:hAnsi="Times New Roman"/>
          <w:sz w:val="20"/>
          <w:szCs w:val="20"/>
        </w:rPr>
      </w:pPr>
      <w:r w:rsidRPr="008B1FB7">
        <w:rPr>
          <w:rFonts w:ascii="Times New Roman" w:hAnsi="Times New Roman"/>
          <w:sz w:val="20"/>
          <w:szCs w:val="20"/>
        </w:rPr>
        <w:t>Norwalk, CT 06856-5116</w:t>
      </w:r>
    </w:p>
    <w:p w14:paraId="54A07FB2" w14:textId="77777777" w:rsidR="00C07D21" w:rsidRPr="008B1FB7" w:rsidRDefault="00C07D21" w:rsidP="00C07D21">
      <w:pPr>
        <w:spacing w:after="0" w:line="240" w:lineRule="auto"/>
        <w:rPr>
          <w:rFonts w:ascii="Times New Roman" w:hAnsi="Times New Roman"/>
          <w:sz w:val="20"/>
          <w:szCs w:val="20"/>
        </w:rPr>
      </w:pPr>
    </w:p>
    <w:p w14:paraId="09AA6E92" w14:textId="3A5C973D" w:rsidR="00C07D21" w:rsidRPr="008B1FB7" w:rsidRDefault="00C07D21" w:rsidP="00D44D90">
      <w:pPr>
        <w:spacing w:after="0" w:line="240" w:lineRule="auto"/>
        <w:jc w:val="both"/>
        <w:rPr>
          <w:rFonts w:ascii="Times New Roman" w:hAnsi="Times New Roman"/>
          <w:sz w:val="20"/>
          <w:szCs w:val="20"/>
        </w:rPr>
      </w:pPr>
      <w:r w:rsidRPr="008B1FB7">
        <w:rPr>
          <w:rFonts w:ascii="Times New Roman" w:hAnsi="Times New Roman"/>
          <w:sz w:val="20"/>
          <w:szCs w:val="20"/>
        </w:rPr>
        <w:t>Re</w:t>
      </w:r>
      <w:r w:rsidR="00794A76" w:rsidRPr="008B1FB7">
        <w:rPr>
          <w:rFonts w:ascii="Times New Roman" w:hAnsi="Times New Roman"/>
          <w:sz w:val="20"/>
          <w:szCs w:val="20"/>
        </w:rPr>
        <w:t>:</w:t>
      </w:r>
      <w:r w:rsidR="00806C94" w:rsidRPr="008B1FB7">
        <w:rPr>
          <w:rFonts w:ascii="Times New Roman" w:hAnsi="Times New Roman"/>
          <w:sz w:val="20"/>
          <w:szCs w:val="20"/>
        </w:rPr>
        <w:t xml:space="preserve"> </w:t>
      </w:r>
      <w:r w:rsidR="00794A76" w:rsidRPr="008B1FB7">
        <w:rPr>
          <w:rFonts w:ascii="Times New Roman" w:hAnsi="Times New Roman"/>
          <w:sz w:val="20"/>
          <w:szCs w:val="20"/>
        </w:rPr>
        <w:t>File Reference No. 2016-</w:t>
      </w:r>
      <w:r w:rsidR="00D051FA">
        <w:rPr>
          <w:rFonts w:ascii="Times New Roman" w:hAnsi="Times New Roman"/>
          <w:sz w:val="20"/>
          <w:szCs w:val="20"/>
        </w:rPr>
        <w:t>26</w:t>
      </w:r>
      <w:r w:rsidR="00004EC1" w:rsidRPr="008B1FB7">
        <w:rPr>
          <w:rFonts w:ascii="Times New Roman" w:hAnsi="Times New Roman"/>
          <w:sz w:val="20"/>
          <w:szCs w:val="20"/>
        </w:rPr>
        <w:t>0</w:t>
      </w:r>
    </w:p>
    <w:p w14:paraId="792B58B9" w14:textId="77777777" w:rsidR="00794A76" w:rsidRPr="008B1FB7" w:rsidRDefault="00794A76" w:rsidP="00D44D90">
      <w:pPr>
        <w:spacing w:after="0" w:line="240" w:lineRule="auto"/>
        <w:jc w:val="both"/>
        <w:rPr>
          <w:rFonts w:ascii="Times New Roman" w:hAnsi="Times New Roman"/>
          <w:sz w:val="20"/>
          <w:szCs w:val="20"/>
        </w:rPr>
      </w:pPr>
    </w:p>
    <w:p w14:paraId="6A6087AA" w14:textId="5E21CE98" w:rsidR="00FA7FAA" w:rsidRPr="008B1FB7" w:rsidRDefault="00FA7FAA" w:rsidP="00D44D90">
      <w:pPr>
        <w:spacing w:after="0" w:line="240" w:lineRule="auto"/>
        <w:jc w:val="both"/>
        <w:rPr>
          <w:rFonts w:ascii="Times New Roman" w:hAnsi="Times New Roman"/>
          <w:sz w:val="20"/>
          <w:szCs w:val="20"/>
        </w:rPr>
      </w:pPr>
      <w:r w:rsidRPr="008B1FB7">
        <w:rPr>
          <w:rFonts w:ascii="Times New Roman" w:hAnsi="Times New Roman"/>
          <w:sz w:val="20"/>
          <w:szCs w:val="20"/>
        </w:rPr>
        <w:t xml:space="preserve">The Accounting Principles Committee of the Illinois CPA Society (Committee) appreciates the opportunity to provide its perspective on the </w:t>
      </w:r>
      <w:r w:rsidR="00D44D90" w:rsidRPr="008B1FB7">
        <w:rPr>
          <w:rFonts w:ascii="Times New Roman" w:hAnsi="Times New Roman"/>
          <w:sz w:val="20"/>
          <w:szCs w:val="20"/>
        </w:rPr>
        <w:t>Proposed Accounting Standards Update—</w:t>
      </w:r>
      <w:r w:rsidR="00D051FA">
        <w:rPr>
          <w:rFonts w:ascii="Times New Roman" w:hAnsi="Times New Roman"/>
          <w:i/>
          <w:iCs/>
          <w:sz w:val="20"/>
          <w:szCs w:val="20"/>
        </w:rPr>
        <w:t>—Interests Held through Related Parties That Are under Common Control</w:t>
      </w:r>
      <w:r w:rsidR="00404B82" w:rsidRPr="008B1FB7">
        <w:rPr>
          <w:rFonts w:ascii="Times New Roman" w:hAnsi="Times New Roman"/>
          <w:i/>
          <w:iCs/>
          <w:sz w:val="20"/>
          <w:szCs w:val="20"/>
        </w:rPr>
        <w:t>.</w:t>
      </w:r>
      <w:r w:rsidRPr="008B1FB7">
        <w:rPr>
          <w:rFonts w:ascii="Times New Roman" w:hAnsi="Times New Roman"/>
          <w:sz w:val="20"/>
          <w:szCs w:val="20"/>
        </w:rPr>
        <w:t xml:space="preserve"> </w:t>
      </w:r>
      <w:r w:rsidR="00D051FA">
        <w:rPr>
          <w:rFonts w:ascii="Times New Roman" w:hAnsi="Times New Roman"/>
          <w:sz w:val="20"/>
          <w:szCs w:val="20"/>
        </w:rPr>
        <w:t xml:space="preserve"> </w:t>
      </w:r>
      <w:r w:rsidRPr="008B1FB7">
        <w:rPr>
          <w:rFonts w:ascii="Times New Roman" w:hAnsi="Times New Roman"/>
          <w:sz w:val="20"/>
          <w:szCs w:val="20"/>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1441808B" w14:textId="77777777" w:rsidR="00D44D90" w:rsidRPr="008B1FB7" w:rsidRDefault="00D44D90" w:rsidP="00D44D90">
      <w:pPr>
        <w:spacing w:after="0" w:line="240" w:lineRule="auto"/>
        <w:jc w:val="both"/>
        <w:rPr>
          <w:rFonts w:ascii="Times New Roman" w:hAnsi="Times New Roman"/>
          <w:sz w:val="20"/>
          <w:szCs w:val="20"/>
        </w:rPr>
      </w:pPr>
    </w:p>
    <w:p w14:paraId="46051EC1" w14:textId="18C8CDCD" w:rsidR="008C45C6" w:rsidRPr="008B1FB7" w:rsidRDefault="00852838" w:rsidP="00041775">
      <w:pPr>
        <w:spacing w:line="240" w:lineRule="auto"/>
        <w:jc w:val="both"/>
        <w:rPr>
          <w:rFonts w:ascii="Times New Roman" w:hAnsi="Times New Roman"/>
          <w:sz w:val="20"/>
          <w:szCs w:val="20"/>
        </w:rPr>
      </w:pPr>
      <w:r w:rsidRPr="008B1FB7">
        <w:rPr>
          <w:rFonts w:ascii="Times New Roman" w:hAnsi="Times New Roman"/>
          <w:sz w:val="20"/>
          <w:szCs w:val="20"/>
        </w:rPr>
        <w:t>W</w:t>
      </w:r>
      <w:r w:rsidR="002C22EC" w:rsidRPr="008B1FB7">
        <w:rPr>
          <w:rFonts w:ascii="Times New Roman" w:hAnsi="Times New Roman"/>
          <w:sz w:val="20"/>
          <w:szCs w:val="20"/>
        </w:rPr>
        <w:t xml:space="preserve">e </w:t>
      </w:r>
      <w:r w:rsidR="00D44D90" w:rsidRPr="008B1FB7">
        <w:rPr>
          <w:rFonts w:ascii="Times New Roman" w:hAnsi="Times New Roman"/>
          <w:sz w:val="20"/>
          <w:szCs w:val="20"/>
        </w:rPr>
        <w:t>are supportive of the Board’s</w:t>
      </w:r>
      <w:r w:rsidR="000D728D" w:rsidRPr="008B1FB7">
        <w:rPr>
          <w:rFonts w:ascii="Times New Roman" w:hAnsi="Times New Roman"/>
          <w:sz w:val="20"/>
          <w:szCs w:val="20"/>
        </w:rPr>
        <w:t xml:space="preserve"> efforts</w:t>
      </w:r>
      <w:r w:rsidR="00404B82" w:rsidRPr="008B1FB7">
        <w:rPr>
          <w:rFonts w:ascii="Times New Roman" w:hAnsi="Times New Roman"/>
          <w:sz w:val="20"/>
          <w:szCs w:val="20"/>
        </w:rPr>
        <w:t xml:space="preserve"> to </w:t>
      </w:r>
      <w:r w:rsidR="00D051FA">
        <w:rPr>
          <w:rFonts w:ascii="Times New Roman" w:hAnsi="Times New Roman"/>
          <w:sz w:val="20"/>
          <w:szCs w:val="20"/>
        </w:rPr>
        <w:t xml:space="preserve">address unintended consequences of the consolidation guidance codified by ASU 2015-02, </w:t>
      </w:r>
      <w:r w:rsidR="00D051FA" w:rsidRPr="000976AE">
        <w:rPr>
          <w:rFonts w:ascii="Times New Roman" w:hAnsi="Times New Roman"/>
          <w:i/>
          <w:sz w:val="20"/>
          <w:szCs w:val="20"/>
        </w:rPr>
        <w:t>Amendments to the Consolidation Analysis</w:t>
      </w:r>
      <w:r w:rsidR="00D051FA">
        <w:rPr>
          <w:rFonts w:ascii="Times New Roman" w:hAnsi="Times New Roman"/>
          <w:sz w:val="20"/>
          <w:szCs w:val="20"/>
        </w:rPr>
        <w:t xml:space="preserve">.  However, we believe that the </w:t>
      </w:r>
      <w:r w:rsidR="00F514BA">
        <w:rPr>
          <w:rFonts w:ascii="Times New Roman" w:hAnsi="Times New Roman"/>
          <w:sz w:val="20"/>
          <w:szCs w:val="20"/>
        </w:rPr>
        <w:t>related party tie-breaker</w:t>
      </w:r>
      <w:r w:rsidR="00D051FA">
        <w:rPr>
          <w:rFonts w:ascii="Times New Roman" w:hAnsi="Times New Roman"/>
          <w:sz w:val="20"/>
          <w:szCs w:val="20"/>
        </w:rPr>
        <w:t xml:space="preserve"> guidance </w:t>
      </w:r>
      <w:r w:rsidR="00F514BA">
        <w:rPr>
          <w:rFonts w:ascii="Times New Roman" w:hAnsi="Times New Roman"/>
          <w:sz w:val="20"/>
          <w:szCs w:val="20"/>
        </w:rPr>
        <w:t>in Topic 810 should</w:t>
      </w:r>
      <w:r w:rsidR="00D051FA">
        <w:rPr>
          <w:rFonts w:ascii="Times New Roman" w:hAnsi="Times New Roman"/>
          <w:sz w:val="20"/>
          <w:szCs w:val="20"/>
        </w:rPr>
        <w:t xml:space="preserve"> be refined </w:t>
      </w:r>
      <w:r w:rsidR="00F514BA">
        <w:rPr>
          <w:rFonts w:ascii="Times New Roman" w:hAnsi="Times New Roman"/>
          <w:sz w:val="20"/>
          <w:szCs w:val="20"/>
        </w:rPr>
        <w:t xml:space="preserve">or clarified </w:t>
      </w:r>
      <w:r w:rsidR="00D051FA">
        <w:rPr>
          <w:rFonts w:ascii="Times New Roman" w:hAnsi="Times New Roman"/>
          <w:sz w:val="20"/>
          <w:szCs w:val="20"/>
        </w:rPr>
        <w:t xml:space="preserve">to </w:t>
      </w:r>
      <w:r w:rsidR="00F514BA">
        <w:rPr>
          <w:rFonts w:ascii="Times New Roman" w:hAnsi="Times New Roman"/>
          <w:sz w:val="20"/>
          <w:szCs w:val="20"/>
        </w:rPr>
        <w:t xml:space="preserve">also require consideration of </w:t>
      </w:r>
      <w:r w:rsidR="00913E20">
        <w:rPr>
          <w:rFonts w:ascii="Times New Roman" w:hAnsi="Times New Roman"/>
          <w:sz w:val="20"/>
          <w:szCs w:val="20"/>
        </w:rPr>
        <w:t>an economic need or</w:t>
      </w:r>
      <w:r w:rsidR="00F514BA">
        <w:rPr>
          <w:rFonts w:ascii="Times New Roman" w:hAnsi="Times New Roman"/>
          <w:sz w:val="20"/>
          <w:szCs w:val="20"/>
        </w:rPr>
        <w:t xml:space="preserve"> business </w:t>
      </w:r>
      <w:r w:rsidR="00913E20">
        <w:rPr>
          <w:rFonts w:ascii="Times New Roman" w:hAnsi="Times New Roman"/>
          <w:sz w:val="20"/>
          <w:szCs w:val="20"/>
        </w:rPr>
        <w:t>purpose</w:t>
      </w:r>
      <w:r w:rsidR="00F514BA">
        <w:rPr>
          <w:rFonts w:ascii="Times New Roman" w:hAnsi="Times New Roman"/>
          <w:sz w:val="20"/>
          <w:szCs w:val="20"/>
        </w:rPr>
        <w:t xml:space="preserve"> for a common control parent separating the decision-making rights from the economic interests that participate significantly in the variable interest entity’s results. </w:t>
      </w:r>
    </w:p>
    <w:p w14:paraId="2FED0AAC" w14:textId="7D537481" w:rsidR="00D44D90" w:rsidRPr="008B1FB7" w:rsidRDefault="008806F3" w:rsidP="00041775">
      <w:pPr>
        <w:spacing w:line="240" w:lineRule="auto"/>
        <w:jc w:val="both"/>
        <w:rPr>
          <w:rFonts w:ascii="Times New Roman" w:hAnsi="Times New Roman"/>
          <w:sz w:val="20"/>
          <w:szCs w:val="20"/>
        </w:rPr>
      </w:pPr>
      <w:r w:rsidRPr="008B1FB7">
        <w:rPr>
          <w:rFonts w:ascii="Times New Roman" w:hAnsi="Times New Roman"/>
          <w:sz w:val="20"/>
          <w:szCs w:val="20"/>
        </w:rPr>
        <w:t xml:space="preserve">Following are </w:t>
      </w:r>
      <w:r w:rsidR="00685277" w:rsidRPr="008B1FB7">
        <w:rPr>
          <w:rFonts w:ascii="Times New Roman" w:hAnsi="Times New Roman"/>
          <w:sz w:val="20"/>
          <w:szCs w:val="20"/>
        </w:rPr>
        <w:t>o</w:t>
      </w:r>
      <w:r w:rsidR="000D728D" w:rsidRPr="008B1FB7">
        <w:rPr>
          <w:rFonts w:ascii="Times New Roman" w:hAnsi="Times New Roman"/>
          <w:sz w:val="20"/>
          <w:szCs w:val="20"/>
        </w:rPr>
        <w:t xml:space="preserve">ur responses to the proposal’s </w:t>
      </w:r>
      <w:r w:rsidR="00685277" w:rsidRPr="008B1FB7">
        <w:rPr>
          <w:rFonts w:ascii="Times New Roman" w:hAnsi="Times New Roman"/>
          <w:sz w:val="20"/>
          <w:szCs w:val="20"/>
        </w:rPr>
        <w:t>Questions for Respondents</w:t>
      </w:r>
      <w:r w:rsidR="000D728D" w:rsidRPr="008B1FB7">
        <w:rPr>
          <w:rFonts w:ascii="Times New Roman" w:hAnsi="Times New Roman"/>
          <w:sz w:val="20"/>
          <w:szCs w:val="20"/>
        </w:rPr>
        <w:t>.</w:t>
      </w:r>
    </w:p>
    <w:p w14:paraId="7CAB7EB1" w14:textId="2F744621" w:rsidR="006D679B" w:rsidRPr="008B1FB7" w:rsidRDefault="000976AE" w:rsidP="00AC4572">
      <w:pPr>
        <w:pStyle w:val="ListParagraph"/>
        <w:jc w:val="both"/>
        <w:rPr>
          <w:i/>
          <w:sz w:val="20"/>
          <w:szCs w:val="20"/>
        </w:rPr>
      </w:pPr>
      <w:r>
        <w:rPr>
          <w:i/>
          <w:sz w:val="20"/>
          <w:szCs w:val="20"/>
        </w:rPr>
        <w:t>Question 1: If a reporting entity is the single decision maker of a VIE, the amendments in this proposed Update would require that reporting entity to include all of its direct variable interests in a VIE and, on a proportionate basis, its indirect variable interests in a VIE held through related parties to determine whether it is the primary beneficiary of that VIE. This evaluation would include all related parties as defined in paragraph 810-10-25-43, including those under common control with the single decision maker. Do you agree with this approach? If not, please explain why.</w:t>
      </w:r>
    </w:p>
    <w:p w14:paraId="6FA8AC66" w14:textId="77777777" w:rsidR="007A27DC" w:rsidRPr="008B1FB7" w:rsidRDefault="007A27DC" w:rsidP="007A27DC">
      <w:pPr>
        <w:pStyle w:val="ListParagraph"/>
        <w:jc w:val="both"/>
        <w:rPr>
          <w:sz w:val="20"/>
          <w:szCs w:val="20"/>
        </w:rPr>
      </w:pPr>
    </w:p>
    <w:p w14:paraId="3D241177" w14:textId="5D1846AC" w:rsidR="00127206" w:rsidRDefault="002A16C9" w:rsidP="005B2856">
      <w:pPr>
        <w:pStyle w:val="ListParagraph"/>
        <w:jc w:val="both"/>
        <w:rPr>
          <w:sz w:val="20"/>
          <w:szCs w:val="20"/>
        </w:rPr>
      </w:pPr>
      <w:r>
        <w:rPr>
          <w:sz w:val="20"/>
          <w:szCs w:val="20"/>
        </w:rPr>
        <w:t xml:space="preserve">We </w:t>
      </w:r>
      <w:r w:rsidR="005B2856">
        <w:rPr>
          <w:sz w:val="20"/>
          <w:szCs w:val="20"/>
        </w:rPr>
        <w:t xml:space="preserve">agree with the proposed approach, but are concerned that, in some circumstances involving entities under common control, the results of applying the related party tie-breaker in paragraph 44 of ASC 810-10-25 may not result in the most appropriate consolidation conclusion. </w:t>
      </w:r>
      <w:r w:rsidR="00127206">
        <w:rPr>
          <w:sz w:val="20"/>
          <w:szCs w:val="20"/>
        </w:rPr>
        <w:t>We understand that, subsequent to the issuance of ASU No. 2015-</w:t>
      </w:r>
      <w:r w:rsidR="00913E20">
        <w:rPr>
          <w:sz w:val="20"/>
          <w:szCs w:val="20"/>
        </w:rPr>
        <w:t>0</w:t>
      </w:r>
      <w:r w:rsidR="00127206">
        <w:rPr>
          <w:sz w:val="20"/>
          <w:szCs w:val="20"/>
        </w:rPr>
        <w:t xml:space="preserve">2, the Board became aware of a situation where a public company would have been required to account for a VIE in which it held more than 90% of the economic interests under the equity method. We agree that result would not be meaningful to users of the investor’s financial statements. However, we are concerned that a public company with the power to direct the activities of a VIE with a significant amount of debt could avoid consolidation if </w:t>
      </w:r>
      <w:proofErr w:type="gramStart"/>
      <w:r w:rsidR="00127206">
        <w:rPr>
          <w:sz w:val="20"/>
          <w:szCs w:val="20"/>
        </w:rPr>
        <w:t>its</w:t>
      </w:r>
      <w:proofErr w:type="gramEnd"/>
      <w:r w:rsidR="00127206">
        <w:rPr>
          <w:sz w:val="20"/>
          <w:szCs w:val="20"/>
        </w:rPr>
        <w:t xml:space="preserve"> non-public sister company held all of the variable interests in the VIE. We do not think that result is any better than the result that prompted the Board to consider amending the way in which entities under common control determined which entity should consolidate a VIE. </w:t>
      </w:r>
    </w:p>
    <w:p w14:paraId="523BC529" w14:textId="77777777" w:rsidR="00127206" w:rsidRDefault="00127206" w:rsidP="005B2856">
      <w:pPr>
        <w:pStyle w:val="ListParagraph"/>
        <w:jc w:val="both"/>
        <w:rPr>
          <w:sz w:val="20"/>
          <w:szCs w:val="20"/>
        </w:rPr>
      </w:pPr>
    </w:p>
    <w:p w14:paraId="21B59BB6" w14:textId="3D00D8DA" w:rsidR="00C71718" w:rsidRDefault="005B2856">
      <w:pPr>
        <w:pStyle w:val="ListParagraph"/>
        <w:jc w:val="both"/>
        <w:rPr>
          <w:sz w:val="20"/>
          <w:szCs w:val="20"/>
        </w:rPr>
      </w:pPr>
      <w:r>
        <w:rPr>
          <w:sz w:val="20"/>
          <w:szCs w:val="20"/>
        </w:rPr>
        <w:t xml:space="preserve">We </w:t>
      </w:r>
      <w:r w:rsidR="002A16C9">
        <w:rPr>
          <w:sz w:val="20"/>
          <w:szCs w:val="20"/>
        </w:rPr>
        <w:t xml:space="preserve">believe the </w:t>
      </w:r>
      <w:r>
        <w:rPr>
          <w:sz w:val="20"/>
          <w:szCs w:val="20"/>
        </w:rPr>
        <w:t xml:space="preserve">Board should revise the related party tie-breaker guidance to require an assessment of whether there is a substantive business purpose </w:t>
      </w:r>
      <w:r w:rsidR="00127206">
        <w:rPr>
          <w:sz w:val="20"/>
          <w:szCs w:val="20"/>
        </w:rPr>
        <w:t xml:space="preserve">or economic need </w:t>
      </w:r>
      <w:r>
        <w:rPr>
          <w:sz w:val="20"/>
          <w:szCs w:val="20"/>
        </w:rPr>
        <w:t>for the parent to have separated the power to direct the VIE’s activities from the obligation to absorb losses, or the right to receive the benefits, of the VIE that could be significant</w:t>
      </w:r>
      <w:r w:rsidR="00127206">
        <w:rPr>
          <w:sz w:val="20"/>
          <w:szCs w:val="20"/>
        </w:rPr>
        <w:t xml:space="preserve"> between its controlled subsidiaries</w:t>
      </w:r>
      <w:r>
        <w:rPr>
          <w:sz w:val="20"/>
          <w:szCs w:val="20"/>
        </w:rPr>
        <w:t>. As the Board noted in paragraph BC66 of ASU No. 2015-</w:t>
      </w:r>
      <w:r w:rsidR="00913E20">
        <w:rPr>
          <w:sz w:val="20"/>
          <w:szCs w:val="20"/>
        </w:rPr>
        <w:t>0</w:t>
      </w:r>
      <w:r>
        <w:rPr>
          <w:sz w:val="20"/>
          <w:szCs w:val="20"/>
        </w:rPr>
        <w:t>2, “</w:t>
      </w:r>
      <w:r w:rsidRPr="005B2856">
        <w:rPr>
          <w:sz w:val="20"/>
          <w:szCs w:val="20"/>
        </w:rPr>
        <w:t>there may be situations in which the decision maker</w:t>
      </w:r>
      <w:r>
        <w:rPr>
          <w:sz w:val="20"/>
          <w:szCs w:val="20"/>
        </w:rPr>
        <w:t xml:space="preserve"> </w:t>
      </w:r>
      <w:r w:rsidRPr="005B2856">
        <w:rPr>
          <w:sz w:val="20"/>
          <w:szCs w:val="20"/>
        </w:rPr>
        <w:t>exerts more control over the related party than the quantitative amount that its</w:t>
      </w:r>
      <w:r>
        <w:rPr>
          <w:sz w:val="20"/>
          <w:szCs w:val="20"/>
        </w:rPr>
        <w:t xml:space="preserve"> </w:t>
      </w:r>
      <w:r w:rsidRPr="005B2856">
        <w:rPr>
          <w:sz w:val="20"/>
          <w:szCs w:val="20"/>
        </w:rPr>
        <w:t>economic interest may indicate</w:t>
      </w:r>
      <w:r w:rsidR="00B35FAD">
        <w:rPr>
          <w:sz w:val="20"/>
          <w:szCs w:val="20"/>
        </w:rPr>
        <w:t xml:space="preserve">”. We do not see how the factors in paragraph 44 of ASC 810-10-25 would </w:t>
      </w:r>
      <w:r w:rsidR="00127206">
        <w:rPr>
          <w:sz w:val="20"/>
          <w:szCs w:val="20"/>
        </w:rPr>
        <w:t xml:space="preserve">help preparers to </w:t>
      </w:r>
      <w:r w:rsidR="00B35FAD">
        <w:rPr>
          <w:sz w:val="20"/>
          <w:szCs w:val="20"/>
        </w:rPr>
        <w:t xml:space="preserve">identify </w:t>
      </w:r>
      <w:r w:rsidR="00127206">
        <w:rPr>
          <w:sz w:val="20"/>
          <w:szCs w:val="20"/>
        </w:rPr>
        <w:t xml:space="preserve">a situation in which that is the case. Assessing whether there is an economic need or substantive business purpose for the structure may help. </w:t>
      </w:r>
      <w:r w:rsidR="00913E20">
        <w:rPr>
          <w:sz w:val="20"/>
          <w:szCs w:val="20"/>
        </w:rPr>
        <w:t>F</w:t>
      </w:r>
      <w:r w:rsidR="00C71718">
        <w:rPr>
          <w:sz w:val="20"/>
          <w:szCs w:val="20"/>
        </w:rPr>
        <w:t xml:space="preserve">or example, </w:t>
      </w:r>
      <w:r w:rsidR="00913E20">
        <w:rPr>
          <w:sz w:val="20"/>
          <w:szCs w:val="20"/>
        </w:rPr>
        <w:t xml:space="preserve">in </w:t>
      </w:r>
      <w:r w:rsidR="00C71718">
        <w:rPr>
          <w:sz w:val="20"/>
          <w:szCs w:val="20"/>
        </w:rPr>
        <w:t xml:space="preserve">a structure </w:t>
      </w:r>
      <w:r w:rsidR="00961CDF">
        <w:rPr>
          <w:sz w:val="20"/>
          <w:szCs w:val="20"/>
        </w:rPr>
        <w:t>where the decision making rights and economic interests have been separated</w:t>
      </w:r>
      <w:r w:rsidR="00913E20">
        <w:rPr>
          <w:sz w:val="20"/>
          <w:szCs w:val="20"/>
        </w:rPr>
        <w:t>, the fact that the structure</w:t>
      </w:r>
      <w:r w:rsidR="00961CDF">
        <w:rPr>
          <w:sz w:val="20"/>
          <w:szCs w:val="20"/>
        </w:rPr>
        <w:t xml:space="preserve"> </w:t>
      </w:r>
      <w:r w:rsidR="00C71718">
        <w:rPr>
          <w:sz w:val="20"/>
          <w:szCs w:val="20"/>
        </w:rPr>
        <w:t xml:space="preserve">lacks an economic need </w:t>
      </w:r>
      <w:r w:rsidR="00913E20">
        <w:rPr>
          <w:sz w:val="20"/>
          <w:szCs w:val="20"/>
        </w:rPr>
        <w:t>or</w:t>
      </w:r>
      <w:r w:rsidR="00C71718">
        <w:rPr>
          <w:sz w:val="20"/>
          <w:szCs w:val="20"/>
        </w:rPr>
        <w:t xml:space="preserve"> a substantive business purpose</w:t>
      </w:r>
      <w:r w:rsidR="00913E20">
        <w:rPr>
          <w:sz w:val="20"/>
          <w:szCs w:val="20"/>
        </w:rPr>
        <w:t xml:space="preserve"> </w:t>
      </w:r>
      <w:r w:rsidR="00961CDF">
        <w:rPr>
          <w:sz w:val="20"/>
          <w:szCs w:val="20"/>
        </w:rPr>
        <w:t>would point towards</w:t>
      </w:r>
      <w:r w:rsidR="00C71718">
        <w:rPr>
          <w:sz w:val="20"/>
          <w:szCs w:val="20"/>
        </w:rPr>
        <w:t xml:space="preserve"> the decision maker </w:t>
      </w:r>
      <w:r w:rsidR="00961CDF">
        <w:rPr>
          <w:sz w:val="20"/>
          <w:szCs w:val="20"/>
        </w:rPr>
        <w:t xml:space="preserve">as </w:t>
      </w:r>
      <w:r w:rsidR="00C71718">
        <w:rPr>
          <w:sz w:val="20"/>
          <w:szCs w:val="20"/>
        </w:rPr>
        <w:t>the VIE’s primary beneficiary.</w:t>
      </w:r>
    </w:p>
    <w:p w14:paraId="1998EA64" w14:textId="77777777" w:rsidR="00C71718" w:rsidRDefault="00C71718" w:rsidP="00004EC1">
      <w:pPr>
        <w:pStyle w:val="ListParagraph"/>
        <w:jc w:val="both"/>
        <w:rPr>
          <w:sz w:val="20"/>
          <w:szCs w:val="20"/>
        </w:rPr>
      </w:pPr>
    </w:p>
    <w:p w14:paraId="392B16F5" w14:textId="41350606" w:rsidR="002A16C9" w:rsidRPr="008B1FB7" w:rsidRDefault="00C71718" w:rsidP="00004EC1">
      <w:pPr>
        <w:pStyle w:val="ListParagraph"/>
        <w:jc w:val="both"/>
        <w:rPr>
          <w:sz w:val="20"/>
          <w:szCs w:val="20"/>
        </w:rPr>
      </w:pPr>
      <w:r>
        <w:rPr>
          <w:sz w:val="20"/>
          <w:szCs w:val="20"/>
        </w:rPr>
        <w:t xml:space="preserve">We believe </w:t>
      </w:r>
      <w:r w:rsidR="00356CE2">
        <w:rPr>
          <w:sz w:val="20"/>
          <w:szCs w:val="20"/>
        </w:rPr>
        <w:t>this refinement could be based on other existing US GAAP, such as the guidance on combining derivative contracts in ASC 815-10-15-8 through 15-9 (formerly DIG Issue K1).</w:t>
      </w:r>
      <w:r>
        <w:rPr>
          <w:sz w:val="20"/>
          <w:szCs w:val="20"/>
        </w:rPr>
        <w:t xml:space="preserve"> </w:t>
      </w:r>
    </w:p>
    <w:p w14:paraId="2D732897" w14:textId="77777777" w:rsidR="007A27DC" w:rsidRPr="008B1FB7" w:rsidRDefault="007A27DC" w:rsidP="007A27DC">
      <w:pPr>
        <w:pStyle w:val="ListParagraph"/>
        <w:jc w:val="both"/>
        <w:rPr>
          <w:sz w:val="20"/>
          <w:szCs w:val="20"/>
        </w:rPr>
      </w:pPr>
    </w:p>
    <w:p w14:paraId="5F4289D4" w14:textId="2FEF7AE2" w:rsidR="00E85782" w:rsidRPr="008B1FB7" w:rsidRDefault="007A028F" w:rsidP="00AC4572">
      <w:pPr>
        <w:pStyle w:val="ListParagraph"/>
        <w:jc w:val="both"/>
        <w:rPr>
          <w:i/>
          <w:sz w:val="20"/>
          <w:szCs w:val="20"/>
        </w:rPr>
      </w:pPr>
      <w:r>
        <w:rPr>
          <w:i/>
          <w:sz w:val="20"/>
          <w:szCs w:val="20"/>
        </w:rPr>
        <w:lastRenderedPageBreak/>
        <w:t>Question 2: Would the proposed amendments adequately address stakeholders’ concerns that, in certain situations involving entities under common control, the amendments in Update 2015-02 may require a single decision maker of a VIE to consolidate that VIE even if it has little to no direct variable interests in the VIE?</w:t>
      </w:r>
    </w:p>
    <w:p w14:paraId="7844B531" w14:textId="77777777" w:rsidR="00004EC1" w:rsidRPr="008B1FB7" w:rsidRDefault="00004EC1" w:rsidP="00004EC1">
      <w:pPr>
        <w:pStyle w:val="ListParagraph"/>
        <w:jc w:val="both"/>
        <w:rPr>
          <w:i/>
          <w:sz w:val="20"/>
          <w:szCs w:val="20"/>
        </w:rPr>
      </w:pPr>
    </w:p>
    <w:p w14:paraId="6DE6366E" w14:textId="201EA869" w:rsidR="00E85782" w:rsidRPr="008B1FB7" w:rsidRDefault="00E85782" w:rsidP="00F700A9">
      <w:pPr>
        <w:ind w:left="720"/>
        <w:jc w:val="both"/>
        <w:rPr>
          <w:rFonts w:ascii="Times New Roman" w:hAnsi="Times New Roman"/>
          <w:sz w:val="20"/>
          <w:szCs w:val="20"/>
        </w:rPr>
      </w:pPr>
      <w:r w:rsidRPr="008B1FB7">
        <w:rPr>
          <w:rFonts w:ascii="Times New Roman" w:hAnsi="Times New Roman"/>
          <w:sz w:val="20"/>
          <w:szCs w:val="20"/>
        </w:rPr>
        <w:t>W</w:t>
      </w:r>
      <w:r w:rsidR="007A028F">
        <w:rPr>
          <w:rFonts w:ascii="Times New Roman" w:hAnsi="Times New Roman"/>
          <w:sz w:val="20"/>
          <w:szCs w:val="20"/>
        </w:rPr>
        <w:t xml:space="preserve">e believe that the proposed amendments would address certain situations where consolidation does not provide meaningful information to financial statement users, but we </w:t>
      </w:r>
      <w:r w:rsidR="00F514BA">
        <w:rPr>
          <w:rFonts w:ascii="Times New Roman" w:hAnsi="Times New Roman"/>
          <w:sz w:val="20"/>
          <w:szCs w:val="20"/>
        </w:rPr>
        <w:t>are concerned</w:t>
      </w:r>
      <w:r w:rsidR="007A028F">
        <w:rPr>
          <w:rFonts w:ascii="Times New Roman" w:hAnsi="Times New Roman"/>
          <w:sz w:val="20"/>
          <w:szCs w:val="20"/>
        </w:rPr>
        <w:t xml:space="preserve"> that the proposed guidance </w:t>
      </w:r>
      <w:r w:rsidR="00F514BA">
        <w:rPr>
          <w:rFonts w:ascii="Times New Roman" w:hAnsi="Times New Roman"/>
          <w:sz w:val="20"/>
          <w:szCs w:val="20"/>
        </w:rPr>
        <w:t xml:space="preserve">may not </w:t>
      </w:r>
      <w:r w:rsidR="007A028F">
        <w:rPr>
          <w:rFonts w:ascii="Times New Roman" w:hAnsi="Times New Roman"/>
          <w:sz w:val="20"/>
          <w:szCs w:val="20"/>
        </w:rPr>
        <w:t>result in the most appropriate consolidation conclusion in all circumstances. See our response to Question 1 for our suggested refinement of the proposed guidance.</w:t>
      </w:r>
    </w:p>
    <w:p w14:paraId="5808B73A" w14:textId="6787E86A" w:rsidR="006D679B" w:rsidRPr="008B1FB7" w:rsidRDefault="007A028F" w:rsidP="00AC4572">
      <w:pPr>
        <w:pStyle w:val="ListParagraph"/>
        <w:jc w:val="both"/>
        <w:rPr>
          <w:i/>
          <w:sz w:val="20"/>
          <w:szCs w:val="20"/>
        </w:rPr>
      </w:pPr>
      <w:r>
        <w:rPr>
          <w:i/>
          <w:sz w:val="20"/>
          <w:szCs w:val="20"/>
        </w:rPr>
        <w:t>Question 3: Do you agree with the proposed transition requirements in paragraph 810-10-65-8? If not, what transition approach would be more appropriate?</w:t>
      </w:r>
    </w:p>
    <w:p w14:paraId="654644D4" w14:textId="77777777" w:rsidR="00C354D7" w:rsidRPr="008B1FB7" w:rsidRDefault="00C354D7" w:rsidP="00004EC1">
      <w:pPr>
        <w:pStyle w:val="ListParagraph"/>
        <w:rPr>
          <w:sz w:val="20"/>
          <w:szCs w:val="20"/>
        </w:rPr>
      </w:pPr>
    </w:p>
    <w:p w14:paraId="65EB3F24" w14:textId="1D995DB1" w:rsidR="005905DC" w:rsidRPr="008B1FB7" w:rsidRDefault="007A028F" w:rsidP="007A028F">
      <w:pPr>
        <w:ind w:left="720"/>
        <w:jc w:val="both"/>
        <w:rPr>
          <w:rFonts w:ascii="Times New Roman" w:hAnsi="Times New Roman"/>
          <w:sz w:val="20"/>
          <w:szCs w:val="20"/>
        </w:rPr>
      </w:pPr>
      <w:r>
        <w:rPr>
          <w:rFonts w:ascii="Times New Roman" w:hAnsi="Times New Roman"/>
          <w:sz w:val="20"/>
          <w:szCs w:val="20"/>
        </w:rPr>
        <w:t>We agree with the proposed transition requirements.</w:t>
      </w:r>
    </w:p>
    <w:p w14:paraId="3F907DDB" w14:textId="3DDF15DB" w:rsidR="006D679B" w:rsidRPr="008B1FB7" w:rsidRDefault="006D679B" w:rsidP="00AC4572">
      <w:pPr>
        <w:pStyle w:val="ListParagraph"/>
        <w:jc w:val="both"/>
        <w:rPr>
          <w:i/>
          <w:sz w:val="20"/>
          <w:szCs w:val="20"/>
        </w:rPr>
      </w:pPr>
      <w:r w:rsidRPr="008B1FB7">
        <w:rPr>
          <w:i/>
          <w:sz w:val="20"/>
          <w:szCs w:val="20"/>
        </w:rPr>
        <w:t>Q</w:t>
      </w:r>
      <w:r w:rsidR="007A028F">
        <w:rPr>
          <w:i/>
          <w:sz w:val="20"/>
          <w:szCs w:val="20"/>
        </w:rPr>
        <w:t>uestion 4: Should a reporting entity be required to provide the transition disclosures specified in this proposed Update? Should any other disclosures be required? If so, please explain why.</w:t>
      </w:r>
    </w:p>
    <w:p w14:paraId="7CC56D94" w14:textId="77777777" w:rsidR="00EF0D61" w:rsidRPr="008B1FB7" w:rsidRDefault="00EF0D61" w:rsidP="00E03DF4">
      <w:pPr>
        <w:pStyle w:val="ListParagraph"/>
        <w:rPr>
          <w:sz w:val="20"/>
          <w:szCs w:val="20"/>
        </w:rPr>
      </w:pPr>
    </w:p>
    <w:p w14:paraId="5521D03F" w14:textId="6C04388E" w:rsidR="001116C4" w:rsidRPr="008B1FB7" w:rsidRDefault="00340BE2" w:rsidP="00340BE2">
      <w:pPr>
        <w:ind w:left="720"/>
        <w:jc w:val="both"/>
        <w:rPr>
          <w:rFonts w:ascii="Times New Roman" w:hAnsi="Times New Roman"/>
          <w:sz w:val="20"/>
          <w:szCs w:val="20"/>
        </w:rPr>
      </w:pPr>
      <w:r>
        <w:rPr>
          <w:rFonts w:ascii="Times New Roman" w:hAnsi="Times New Roman"/>
          <w:sz w:val="20"/>
          <w:szCs w:val="20"/>
        </w:rPr>
        <w:t>We agree with the proposed transition disclosures.</w:t>
      </w:r>
    </w:p>
    <w:p w14:paraId="5A78A157" w14:textId="4FC13E42" w:rsidR="006D679B" w:rsidRPr="008B1FB7" w:rsidRDefault="006D679B" w:rsidP="00AC4572">
      <w:pPr>
        <w:pStyle w:val="ListParagraph"/>
        <w:jc w:val="both"/>
        <w:rPr>
          <w:i/>
          <w:sz w:val="20"/>
          <w:szCs w:val="20"/>
        </w:rPr>
      </w:pPr>
      <w:r w:rsidRPr="008B1FB7">
        <w:rPr>
          <w:i/>
          <w:sz w:val="20"/>
          <w:szCs w:val="20"/>
        </w:rPr>
        <w:t>Q</w:t>
      </w:r>
      <w:r w:rsidR="00340BE2">
        <w:rPr>
          <w:i/>
          <w:sz w:val="20"/>
          <w:szCs w:val="20"/>
        </w:rPr>
        <w:t>uestion 5: Should the proposed amendments be effective immediately upon issuance of a final Update for all entities that already have adopted the amendments in Update 2015-02?</w:t>
      </w:r>
    </w:p>
    <w:p w14:paraId="3088EDF9" w14:textId="77777777" w:rsidR="00AF6369" w:rsidRPr="008B1FB7" w:rsidRDefault="00AF6369" w:rsidP="00AF6369">
      <w:pPr>
        <w:pStyle w:val="ListParagraph"/>
        <w:rPr>
          <w:sz w:val="20"/>
          <w:szCs w:val="20"/>
        </w:rPr>
      </w:pPr>
    </w:p>
    <w:p w14:paraId="17E7BEA1" w14:textId="719D9D57" w:rsidR="00AF6369" w:rsidRPr="008B1FB7" w:rsidRDefault="00340BE2" w:rsidP="000E12D1">
      <w:pPr>
        <w:ind w:left="720"/>
        <w:jc w:val="both"/>
        <w:rPr>
          <w:rFonts w:ascii="Times New Roman" w:hAnsi="Times New Roman"/>
          <w:sz w:val="20"/>
          <w:szCs w:val="20"/>
        </w:rPr>
      </w:pPr>
      <w:r>
        <w:rPr>
          <w:rFonts w:ascii="Times New Roman" w:hAnsi="Times New Roman"/>
          <w:sz w:val="20"/>
          <w:szCs w:val="20"/>
        </w:rPr>
        <w:t>Yes, we believe that the proposed guidance should be effective immediately upon issuance for entities that have already adopted the guidance in ASU 2015-02.</w:t>
      </w:r>
    </w:p>
    <w:p w14:paraId="60D27460" w14:textId="19861C28" w:rsidR="006D679B" w:rsidRPr="008B1FB7" w:rsidRDefault="006D679B" w:rsidP="00AC4572">
      <w:pPr>
        <w:pStyle w:val="ListParagraph"/>
        <w:jc w:val="both"/>
        <w:rPr>
          <w:i/>
          <w:sz w:val="20"/>
          <w:szCs w:val="20"/>
        </w:rPr>
      </w:pPr>
      <w:r w:rsidRPr="008B1FB7">
        <w:rPr>
          <w:i/>
          <w:sz w:val="20"/>
          <w:szCs w:val="20"/>
        </w:rPr>
        <w:t xml:space="preserve">Question </w:t>
      </w:r>
      <w:r w:rsidR="00340BE2">
        <w:rPr>
          <w:i/>
          <w:sz w:val="20"/>
          <w:szCs w:val="20"/>
        </w:rPr>
        <w:t>6: Should entities that have not yet adopted the amendments in Update 2015-02 be required to adopt the amendments in this proposed Update at the same time they adopt the amendments in Update 2015-02?</w:t>
      </w:r>
    </w:p>
    <w:p w14:paraId="346C1F5C" w14:textId="77777777" w:rsidR="00F839B6" w:rsidRPr="008B1FB7" w:rsidRDefault="00F839B6" w:rsidP="00AC4572">
      <w:pPr>
        <w:pStyle w:val="ListParagraph"/>
        <w:rPr>
          <w:sz w:val="20"/>
          <w:szCs w:val="20"/>
        </w:rPr>
      </w:pPr>
    </w:p>
    <w:p w14:paraId="3DF828CD" w14:textId="475C7C67" w:rsidR="00C65DB8" w:rsidRPr="008B1FB7" w:rsidRDefault="00340BE2" w:rsidP="00C65DB8">
      <w:pPr>
        <w:ind w:left="720"/>
        <w:jc w:val="both"/>
        <w:rPr>
          <w:rFonts w:ascii="Times New Roman" w:hAnsi="Times New Roman"/>
          <w:sz w:val="20"/>
          <w:szCs w:val="20"/>
        </w:rPr>
      </w:pPr>
      <w:r>
        <w:rPr>
          <w:rFonts w:ascii="Times New Roman" w:hAnsi="Times New Roman"/>
          <w:sz w:val="20"/>
          <w:szCs w:val="20"/>
        </w:rPr>
        <w:t>Yes, we believe that the adoption of the proposed guidance should be aligned with the adoption of the guidance in ASU 2015-02.</w:t>
      </w:r>
    </w:p>
    <w:p w14:paraId="41038BE4" w14:textId="77777777" w:rsidR="00913F17" w:rsidRPr="008B1FB7" w:rsidRDefault="00913F17" w:rsidP="007923B5">
      <w:pPr>
        <w:spacing w:after="0" w:line="240" w:lineRule="auto"/>
        <w:jc w:val="both"/>
        <w:rPr>
          <w:rFonts w:ascii="Times New Roman" w:hAnsi="Times New Roman"/>
          <w:sz w:val="20"/>
          <w:szCs w:val="20"/>
        </w:rPr>
      </w:pPr>
    </w:p>
    <w:p w14:paraId="401A7582" w14:textId="77777777" w:rsidR="00C07D21" w:rsidRPr="008B1FB7" w:rsidRDefault="00C07D21" w:rsidP="00C07D21">
      <w:pPr>
        <w:jc w:val="both"/>
        <w:rPr>
          <w:rFonts w:ascii="Times New Roman" w:hAnsi="Times New Roman"/>
          <w:sz w:val="20"/>
          <w:szCs w:val="20"/>
        </w:rPr>
      </w:pPr>
      <w:r w:rsidRPr="008B1FB7">
        <w:rPr>
          <w:rFonts w:ascii="Times New Roman" w:hAnsi="Times New Roman"/>
          <w:sz w:val="20"/>
          <w:szCs w:val="20"/>
        </w:rPr>
        <w:t>We appreciate the opportunity to offer our comments.</w:t>
      </w:r>
    </w:p>
    <w:p w14:paraId="521AC13C" w14:textId="77777777" w:rsidR="00C07D21" w:rsidRPr="008B1FB7" w:rsidRDefault="00C07D21" w:rsidP="00C07D21">
      <w:pPr>
        <w:jc w:val="both"/>
        <w:rPr>
          <w:rFonts w:ascii="Times New Roman" w:hAnsi="Times New Roman"/>
          <w:sz w:val="20"/>
          <w:szCs w:val="20"/>
        </w:rPr>
      </w:pPr>
      <w:r w:rsidRPr="008B1FB7">
        <w:rPr>
          <w:rFonts w:ascii="Times New Roman" w:hAnsi="Times New Roman"/>
          <w:sz w:val="20"/>
          <w:szCs w:val="20"/>
        </w:rPr>
        <w:t>Sincerely,</w:t>
      </w:r>
    </w:p>
    <w:p w14:paraId="6773FFCC" w14:textId="77777777" w:rsidR="00C07D21" w:rsidRPr="008B1FB7" w:rsidRDefault="00C07D21" w:rsidP="00C07D21">
      <w:pPr>
        <w:jc w:val="both"/>
        <w:rPr>
          <w:rFonts w:ascii="Times New Roman" w:hAnsi="Times New Roman"/>
          <w:sz w:val="20"/>
          <w:szCs w:val="20"/>
        </w:rPr>
      </w:pPr>
    </w:p>
    <w:p w14:paraId="68292F9D" w14:textId="7E14DF09" w:rsidR="00C07D21" w:rsidRPr="008B1FB7" w:rsidRDefault="0062628D" w:rsidP="00C07D21">
      <w:pPr>
        <w:rPr>
          <w:rFonts w:ascii="Times New Roman" w:hAnsi="Times New Roman"/>
          <w:sz w:val="20"/>
          <w:szCs w:val="20"/>
        </w:rPr>
      </w:pPr>
      <w:r w:rsidRPr="008B1FB7">
        <w:rPr>
          <w:rFonts w:ascii="Times New Roman" w:hAnsi="Times New Roman"/>
          <w:b/>
          <w:bCs/>
          <w:sz w:val="20"/>
          <w:szCs w:val="20"/>
        </w:rPr>
        <w:t>Ryan Brady</w:t>
      </w:r>
      <w:r w:rsidR="00C07D21" w:rsidRPr="008B1FB7">
        <w:rPr>
          <w:rFonts w:ascii="Times New Roman" w:hAnsi="Times New Roman"/>
          <w:b/>
          <w:bCs/>
          <w:sz w:val="20"/>
          <w:szCs w:val="20"/>
        </w:rPr>
        <w:t>, CPA</w:t>
      </w:r>
      <w:r w:rsidR="00C07D21" w:rsidRPr="008B1FB7">
        <w:rPr>
          <w:rFonts w:ascii="Times New Roman" w:hAnsi="Times New Roman"/>
          <w:sz w:val="20"/>
          <w:szCs w:val="20"/>
        </w:rPr>
        <w:br/>
        <w:t>Chair, Accounting Principles Committee</w:t>
      </w:r>
    </w:p>
    <w:p w14:paraId="6E3198B2" w14:textId="77777777" w:rsidR="005838C5" w:rsidRPr="008B1FB7" w:rsidRDefault="0062628D" w:rsidP="005838C5">
      <w:pPr>
        <w:rPr>
          <w:rFonts w:ascii="Times New Roman" w:hAnsi="Times New Roman"/>
          <w:sz w:val="20"/>
          <w:szCs w:val="20"/>
        </w:rPr>
      </w:pPr>
      <w:r w:rsidRPr="008B1FB7">
        <w:rPr>
          <w:rFonts w:ascii="Times New Roman" w:hAnsi="Times New Roman"/>
          <w:b/>
          <w:bCs/>
          <w:sz w:val="20"/>
          <w:szCs w:val="20"/>
        </w:rPr>
        <w:t>Brian Kot</w:t>
      </w:r>
      <w:r w:rsidR="00C07D21" w:rsidRPr="008B1FB7">
        <w:rPr>
          <w:rFonts w:ascii="Times New Roman" w:hAnsi="Times New Roman"/>
          <w:b/>
          <w:bCs/>
          <w:sz w:val="20"/>
          <w:szCs w:val="20"/>
        </w:rPr>
        <w:t>, CPA</w:t>
      </w:r>
      <w:r w:rsidR="00E83DC2" w:rsidRPr="008B1FB7">
        <w:rPr>
          <w:rFonts w:ascii="Times New Roman" w:hAnsi="Times New Roman"/>
          <w:sz w:val="20"/>
          <w:szCs w:val="20"/>
        </w:rPr>
        <w:br/>
        <w:t>Vice C</w:t>
      </w:r>
      <w:r w:rsidR="00C07D21" w:rsidRPr="008B1FB7">
        <w:rPr>
          <w:rFonts w:ascii="Times New Roman" w:hAnsi="Times New Roman"/>
          <w:sz w:val="20"/>
          <w:szCs w:val="20"/>
        </w:rPr>
        <w:t>hair, Accounting Principles Committee</w:t>
      </w:r>
    </w:p>
    <w:p w14:paraId="2AF5DD4C" w14:textId="7FBBE803" w:rsidR="005838C5" w:rsidRPr="001077B6" w:rsidRDefault="00483CC0" w:rsidP="005838C5">
      <w:pPr>
        <w:jc w:val="center"/>
        <w:rPr>
          <w:sz w:val="18"/>
          <w:szCs w:val="18"/>
        </w:rPr>
      </w:pPr>
      <w:r>
        <w:br w:type="page"/>
      </w:r>
      <w:r w:rsidR="005838C5" w:rsidRPr="001077B6">
        <w:rPr>
          <w:sz w:val="18"/>
          <w:szCs w:val="18"/>
        </w:rPr>
        <w:lastRenderedPageBreak/>
        <w:t>APPENDIX A</w:t>
      </w:r>
    </w:p>
    <w:p w14:paraId="35376C73" w14:textId="77777777" w:rsidR="005838C5" w:rsidRPr="001077B6" w:rsidRDefault="005838C5" w:rsidP="005838C5">
      <w:pPr>
        <w:tabs>
          <w:tab w:val="center" w:pos="4680"/>
        </w:tabs>
        <w:suppressAutoHyphens/>
        <w:spacing w:after="0"/>
        <w:jc w:val="center"/>
        <w:rPr>
          <w:sz w:val="18"/>
          <w:szCs w:val="18"/>
        </w:rPr>
      </w:pPr>
      <w:r w:rsidRPr="001077B6">
        <w:rPr>
          <w:sz w:val="18"/>
          <w:szCs w:val="18"/>
        </w:rPr>
        <w:t>ACCOUNTING PRINCIPLES COMMITTEE</w:t>
      </w:r>
    </w:p>
    <w:p w14:paraId="2A484854" w14:textId="77777777" w:rsidR="005838C5" w:rsidRPr="001077B6" w:rsidRDefault="005838C5" w:rsidP="005838C5">
      <w:pPr>
        <w:tabs>
          <w:tab w:val="center" w:pos="4680"/>
        </w:tabs>
        <w:suppressAutoHyphens/>
        <w:spacing w:after="0"/>
        <w:jc w:val="center"/>
        <w:rPr>
          <w:sz w:val="18"/>
          <w:szCs w:val="18"/>
        </w:rPr>
      </w:pPr>
      <w:r w:rsidRPr="001077B6">
        <w:rPr>
          <w:sz w:val="18"/>
          <w:szCs w:val="18"/>
        </w:rPr>
        <w:t>ORGANIZATION AND OPERATING PROCEDURES</w:t>
      </w:r>
    </w:p>
    <w:p w14:paraId="320B7C1C" w14:textId="77777777" w:rsidR="005838C5" w:rsidRPr="001077B6" w:rsidRDefault="005838C5" w:rsidP="005838C5">
      <w:pPr>
        <w:tabs>
          <w:tab w:val="center" w:pos="4680"/>
        </w:tabs>
        <w:suppressAutoHyphens/>
        <w:spacing w:after="0"/>
        <w:jc w:val="center"/>
        <w:rPr>
          <w:sz w:val="18"/>
          <w:szCs w:val="18"/>
        </w:rPr>
      </w:pPr>
      <w:r w:rsidRPr="001077B6">
        <w:rPr>
          <w:sz w:val="18"/>
          <w:szCs w:val="18"/>
        </w:rPr>
        <w:t>201</w:t>
      </w:r>
      <w:r>
        <w:rPr>
          <w:sz w:val="18"/>
          <w:szCs w:val="18"/>
        </w:rPr>
        <w:t>6-2017</w:t>
      </w:r>
    </w:p>
    <w:p w14:paraId="7DA4FD7C" w14:textId="77777777" w:rsidR="005838C5" w:rsidRPr="001077B6" w:rsidRDefault="005838C5" w:rsidP="005838C5">
      <w:pPr>
        <w:tabs>
          <w:tab w:val="center" w:pos="4680"/>
        </w:tabs>
        <w:suppressAutoHyphens/>
        <w:spacing w:after="0"/>
        <w:jc w:val="center"/>
        <w:rPr>
          <w:sz w:val="24"/>
          <w:szCs w:val="24"/>
        </w:rPr>
      </w:pPr>
    </w:p>
    <w:p w14:paraId="3D9D6A8B" w14:textId="77777777" w:rsidR="005838C5" w:rsidRPr="00075D65" w:rsidRDefault="005838C5" w:rsidP="005838C5">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5B0D30EF" w14:textId="77777777" w:rsidR="005838C5" w:rsidRPr="001077B6" w:rsidRDefault="005838C5" w:rsidP="005838C5">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241B23E2"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Public Accounting Firms:</w:t>
      </w:r>
    </w:p>
    <w:p w14:paraId="403C4D86"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6476DEE6" w14:textId="77777777" w:rsidR="005838C5"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3F5219DC" w14:textId="77777777" w:rsidR="005838C5" w:rsidRPr="00137076"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BB6F3DF" w14:textId="77777777" w:rsidR="005838C5"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4B6A1E1" w14:textId="77777777" w:rsidR="005838C5" w:rsidRPr="00137076"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2D6D15D9" w14:textId="78DDC092" w:rsidR="005838C5" w:rsidRPr="00137076" w:rsidRDefault="005838C5" w:rsidP="005838C5">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4CEBE8E4" w14:textId="77777777" w:rsidR="005838C5" w:rsidRDefault="005838C5" w:rsidP="005838C5">
      <w:pPr>
        <w:tabs>
          <w:tab w:val="left" w:pos="-720"/>
        </w:tabs>
        <w:suppressAutoHyphens/>
        <w:spacing w:after="0"/>
        <w:jc w:val="both"/>
        <w:rPr>
          <w:b/>
          <w:spacing w:val="-3"/>
          <w:sz w:val="18"/>
          <w:szCs w:val="18"/>
        </w:rPr>
      </w:pPr>
      <w:r>
        <w:rPr>
          <w:b/>
          <w:spacing w:val="-3"/>
          <w:sz w:val="18"/>
          <w:szCs w:val="18"/>
        </w:rPr>
        <w:t>Educators:</w:t>
      </w:r>
    </w:p>
    <w:p w14:paraId="11526279" w14:textId="77777777" w:rsidR="005838C5" w:rsidRPr="00137076" w:rsidRDefault="005838C5" w:rsidP="005838C5">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20988829" w14:textId="77777777" w:rsidR="005838C5" w:rsidRDefault="005838C5" w:rsidP="005838C5">
      <w:pPr>
        <w:tabs>
          <w:tab w:val="left" w:pos="-720"/>
        </w:tabs>
        <w:suppressAutoHyphens/>
        <w:spacing w:after="0"/>
        <w:jc w:val="both"/>
        <w:rPr>
          <w:b/>
          <w:spacing w:val="-3"/>
          <w:sz w:val="18"/>
          <w:szCs w:val="18"/>
        </w:rPr>
      </w:pPr>
    </w:p>
    <w:p w14:paraId="16AC5C52" w14:textId="77777777" w:rsidR="005838C5" w:rsidRPr="00137076" w:rsidRDefault="005838C5" w:rsidP="005838C5">
      <w:pPr>
        <w:tabs>
          <w:tab w:val="left" w:pos="-720"/>
        </w:tabs>
        <w:suppressAutoHyphens/>
        <w:spacing w:after="0"/>
        <w:jc w:val="both"/>
        <w:rPr>
          <w:b/>
          <w:spacing w:val="-3"/>
          <w:sz w:val="18"/>
          <w:szCs w:val="18"/>
        </w:rPr>
      </w:pPr>
      <w:r w:rsidRPr="00137076">
        <w:rPr>
          <w:b/>
          <w:spacing w:val="-3"/>
          <w:sz w:val="18"/>
          <w:szCs w:val="18"/>
        </w:rPr>
        <w:t>Industry:</w:t>
      </w:r>
    </w:p>
    <w:p w14:paraId="6D5E7DF1" w14:textId="5C03092E"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sidR="00A84C14">
        <w:rPr>
          <w:spacing w:val="-3"/>
          <w:sz w:val="18"/>
          <w:szCs w:val="18"/>
        </w:rPr>
        <w:t>Mattersig</w:t>
      </w:r>
      <w:bookmarkStart w:id="0" w:name="_GoBack"/>
      <w:bookmarkEnd w:id="0"/>
      <w:r w:rsidR="00A84C14">
        <w:rPr>
          <w:spacing w:val="-3"/>
          <w:sz w:val="18"/>
          <w:szCs w:val="18"/>
        </w:rPr>
        <w:t>ht</w:t>
      </w:r>
      <w:proofErr w:type="spellEnd"/>
      <w:r w:rsidR="00A84C14">
        <w:rPr>
          <w:spacing w:val="-3"/>
          <w:sz w:val="18"/>
          <w:szCs w:val="18"/>
        </w:rPr>
        <w:t xml:space="preserve"> Corp.</w:t>
      </w:r>
    </w:p>
    <w:p w14:paraId="5D1283AE"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A52913D"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3C9AA1A2" w14:textId="77777777"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1337A0D7" w14:textId="6728DCED" w:rsidR="005838C5" w:rsidRPr="00137076" w:rsidRDefault="005838C5" w:rsidP="005838C5">
      <w:pPr>
        <w:ind w:left="360"/>
        <w:rPr>
          <w:spacing w:val="-3"/>
          <w:sz w:val="18"/>
          <w:szCs w:val="18"/>
        </w:rPr>
      </w:pPr>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r>
      <w:r w:rsidR="00A84C14">
        <w:rPr>
          <w:spacing w:val="-3"/>
          <w:sz w:val="18"/>
          <w:szCs w:val="18"/>
        </w:rPr>
        <w:t>Reynolds Group Holdings</w:t>
      </w:r>
    </w:p>
    <w:p w14:paraId="58221B8A" w14:textId="77777777" w:rsidR="005838C5" w:rsidRPr="00137076" w:rsidRDefault="005838C5" w:rsidP="005838C5">
      <w:pPr>
        <w:tabs>
          <w:tab w:val="left" w:pos="360"/>
          <w:tab w:val="left" w:pos="4230"/>
        </w:tabs>
        <w:spacing w:after="0"/>
        <w:rPr>
          <w:b/>
          <w:sz w:val="18"/>
          <w:szCs w:val="18"/>
        </w:rPr>
      </w:pPr>
      <w:r w:rsidRPr="00137076">
        <w:rPr>
          <w:b/>
          <w:sz w:val="18"/>
          <w:szCs w:val="18"/>
        </w:rPr>
        <w:t>Staff Representative:</w:t>
      </w:r>
    </w:p>
    <w:p w14:paraId="2F876941" w14:textId="77777777" w:rsidR="005838C5" w:rsidRPr="00B36A5E" w:rsidRDefault="005838C5" w:rsidP="005838C5">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0F149991" w14:textId="5691B6B9" w:rsidR="00C07D21" w:rsidRPr="0097339A" w:rsidRDefault="00C07D21">
      <w:pPr>
        <w:rPr>
          <w:rFonts w:ascii="Times New Roman" w:hAnsi="Times New Roman"/>
        </w:rPr>
      </w:pPr>
    </w:p>
    <w:sectPr w:rsidR="00C07D21" w:rsidRPr="0097339A" w:rsidSect="00432EC7">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0B00" w14:textId="77777777" w:rsidR="00234FB0" w:rsidRDefault="00234FB0" w:rsidP="00C07D21">
      <w:pPr>
        <w:spacing w:after="0" w:line="240" w:lineRule="auto"/>
      </w:pPr>
      <w:r>
        <w:separator/>
      </w:r>
    </w:p>
  </w:endnote>
  <w:endnote w:type="continuationSeparator" w:id="0">
    <w:p w14:paraId="0AE64FF4" w14:textId="77777777" w:rsidR="00234FB0" w:rsidRDefault="00234FB0"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E4A76" w14:textId="77777777" w:rsidR="00234FB0" w:rsidRDefault="00234FB0" w:rsidP="00C07D21">
      <w:pPr>
        <w:spacing w:after="0" w:line="240" w:lineRule="auto"/>
      </w:pPr>
      <w:r>
        <w:separator/>
      </w:r>
    </w:p>
  </w:footnote>
  <w:footnote w:type="continuationSeparator" w:id="0">
    <w:p w14:paraId="16C97DD5" w14:textId="77777777" w:rsidR="00234FB0" w:rsidRDefault="00234FB0"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E5E7" w14:textId="77777777" w:rsidR="00BA56C9" w:rsidRDefault="00BA56C9" w:rsidP="00C07D21">
    <w:pPr>
      <w:pStyle w:val="Header"/>
      <w:jc w:val="center"/>
    </w:pPr>
    <w:r>
      <w:rPr>
        <w:noProof/>
      </w:rPr>
      <w:drawing>
        <wp:inline distT="0" distB="0" distL="0" distR="0" wp14:anchorId="7E49B35E" wp14:editId="6C732870">
          <wp:extent cx="124777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6DE"/>
    <w:multiLevelType w:val="hybridMultilevel"/>
    <w:tmpl w:val="8C3EBF10"/>
    <w:lvl w:ilvl="0" w:tplc="74869910">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C55EB"/>
    <w:multiLevelType w:val="hybridMultilevel"/>
    <w:tmpl w:val="DE8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6538E0"/>
    <w:multiLevelType w:val="hybridMultilevel"/>
    <w:tmpl w:val="2BCC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52743C2"/>
    <w:multiLevelType w:val="hybridMultilevel"/>
    <w:tmpl w:val="D55A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4EC1"/>
    <w:rsid w:val="0000540A"/>
    <w:rsid w:val="00007C01"/>
    <w:rsid w:val="000142EA"/>
    <w:rsid w:val="00032381"/>
    <w:rsid w:val="00036742"/>
    <w:rsid w:val="000369D7"/>
    <w:rsid w:val="00041775"/>
    <w:rsid w:val="00042A30"/>
    <w:rsid w:val="00050D70"/>
    <w:rsid w:val="00053FEF"/>
    <w:rsid w:val="00057379"/>
    <w:rsid w:val="00060B2D"/>
    <w:rsid w:val="00085888"/>
    <w:rsid w:val="0009050E"/>
    <w:rsid w:val="000976AE"/>
    <w:rsid w:val="000A0340"/>
    <w:rsid w:val="000A2FC2"/>
    <w:rsid w:val="000A44F0"/>
    <w:rsid w:val="000A6B72"/>
    <w:rsid w:val="000D2962"/>
    <w:rsid w:val="000D4CFC"/>
    <w:rsid w:val="000D4E0A"/>
    <w:rsid w:val="000D728D"/>
    <w:rsid w:val="000D7F45"/>
    <w:rsid w:val="000E12D1"/>
    <w:rsid w:val="000F4630"/>
    <w:rsid w:val="000F4862"/>
    <w:rsid w:val="001116C4"/>
    <w:rsid w:val="0011453E"/>
    <w:rsid w:val="00116708"/>
    <w:rsid w:val="0011726D"/>
    <w:rsid w:val="00117E71"/>
    <w:rsid w:val="00120B3D"/>
    <w:rsid w:val="00124731"/>
    <w:rsid w:val="00127206"/>
    <w:rsid w:val="00131959"/>
    <w:rsid w:val="0013468E"/>
    <w:rsid w:val="00145DFF"/>
    <w:rsid w:val="00146D01"/>
    <w:rsid w:val="00160853"/>
    <w:rsid w:val="00164046"/>
    <w:rsid w:val="00171283"/>
    <w:rsid w:val="00171936"/>
    <w:rsid w:val="00176186"/>
    <w:rsid w:val="001832B0"/>
    <w:rsid w:val="00195790"/>
    <w:rsid w:val="001A791C"/>
    <w:rsid w:val="001B6B1A"/>
    <w:rsid w:val="001C689F"/>
    <w:rsid w:val="001D009B"/>
    <w:rsid w:val="001D229D"/>
    <w:rsid w:val="001D3215"/>
    <w:rsid w:val="001D79D0"/>
    <w:rsid w:val="001D79EE"/>
    <w:rsid w:val="001E54FB"/>
    <w:rsid w:val="00205CF6"/>
    <w:rsid w:val="00230273"/>
    <w:rsid w:val="00234FB0"/>
    <w:rsid w:val="00257E6D"/>
    <w:rsid w:val="0026355B"/>
    <w:rsid w:val="002635A4"/>
    <w:rsid w:val="00264B8B"/>
    <w:rsid w:val="00265659"/>
    <w:rsid w:val="00265C19"/>
    <w:rsid w:val="00270D5D"/>
    <w:rsid w:val="00273636"/>
    <w:rsid w:val="00274A68"/>
    <w:rsid w:val="00282AC6"/>
    <w:rsid w:val="002853F7"/>
    <w:rsid w:val="00291510"/>
    <w:rsid w:val="0029201A"/>
    <w:rsid w:val="00296D5A"/>
    <w:rsid w:val="002A0322"/>
    <w:rsid w:val="002A16C9"/>
    <w:rsid w:val="002A57B5"/>
    <w:rsid w:val="002B1E4A"/>
    <w:rsid w:val="002B3F2F"/>
    <w:rsid w:val="002C0FD7"/>
    <w:rsid w:val="002C22EC"/>
    <w:rsid w:val="002C4993"/>
    <w:rsid w:val="002C690C"/>
    <w:rsid w:val="002D74CA"/>
    <w:rsid w:val="002E63D7"/>
    <w:rsid w:val="002F69AD"/>
    <w:rsid w:val="002F745C"/>
    <w:rsid w:val="003033B8"/>
    <w:rsid w:val="00313FA0"/>
    <w:rsid w:val="003144A1"/>
    <w:rsid w:val="003402D4"/>
    <w:rsid w:val="00340BE2"/>
    <w:rsid w:val="00341352"/>
    <w:rsid w:val="0034247D"/>
    <w:rsid w:val="00347085"/>
    <w:rsid w:val="00347677"/>
    <w:rsid w:val="00347E79"/>
    <w:rsid w:val="00353E39"/>
    <w:rsid w:val="00356CE2"/>
    <w:rsid w:val="00357C92"/>
    <w:rsid w:val="003707B8"/>
    <w:rsid w:val="00380A7A"/>
    <w:rsid w:val="00395802"/>
    <w:rsid w:val="003A0467"/>
    <w:rsid w:val="003A0DC8"/>
    <w:rsid w:val="003A397A"/>
    <w:rsid w:val="003C0300"/>
    <w:rsid w:val="003C7BD9"/>
    <w:rsid w:val="003F17CA"/>
    <w:rsid w:val="003F63B5"/>
    <w:rsid w:val="00404B82"/>
    <w:rsid w:val="0041714B"/>
    <w:rsid w:val="0041745C"/>
    <w:rsid w:val="00432EC7"/>
    <w:rsid w:val="00443B4B"/>
    <w:rsid w:val="00443E9E"/>
    <w:rsid w:val="00452EDD"/>
    <w:rsid w:val="00455A3C"/>
    <w:rsid w:val="00456BED"/>
    <w:rsid w:val="00462B05"/>
    <w:rsid w:val="00463AAA"/>
    <w:rsid w:val="004653E5"/>
    <w:rsid w:val="00465434"/>
    <w:rsid w:val="00476BC9"/>
    <w:rsid w:val="00483CC0"/>
    <w:rsid w:val="004843CB"/>
    <w:rsid w:val="004952E0"/>
    <w:rsid w:val="004B1968"/>
    <w:rsid w:val="004B52D3"/>
    <w:rsid w:val="004C2DCA"/>
    <w:rsid w:val="004D0A66"/>
    <w:rsid w:val="004D0B2F"/>
    <w:rsid w:val="004D0BD1"/>
    <w:rsid w:val="004D1C90"/>
    <w:rsid w:val="004E2126"/>
    <w:rsid w:val="004E2E28"/>
    <w:rsid w:val="004E4BAA"/>
    <w:rsid w:val="004E7B18"/>
    <w:rsid w:val="005079B6"/>
    <w:rsid w:val="005229F1"/>
    <w:rsid w:val="00523330"/>
    <w:rsid w:val="005251D7"/>
    <w:rsid w:val="005403FE"/>
    <w:rsid w:val="00553D03"/>
    <w:rsid w:val="00565C7C"/>
    <w:rsid w:val="00572F95"/>
    <w:rsid w:val="005838C5"/>
    <w:rsid w:val="005905DC"/>
    <w:rsid w:val="00594184"/>
    <w:rsid w:val="00594BD8"/>
    <w:rsid w:val="005969E2"/>
    <w:rsid w:val="005A168C"/>
    <w:rsid w:val="005A3670"/>
    <w:rsid w:val="005B2856"/>
    <w:rsid w:val="005B5BDF"/>
    <w:rsid w:val="005C148C"/>
    <w:rsid w:val="005C2DB4"/>
    <w:rsid w:val="005C7777"/>
    <w:rsid w:val="005C7C74"/>
    <w:rsid w:val="005D1F31"/>
    <w:rsid w:val="005D3892"/>
    <w:rsid w:val="005D6CBB"/>
    <w:rsid w:val="005D7AD3"/>
    <w:rsid w:val="005F434F"/>
    <w:rsid w:val="005F5188"/>
    <w:rsid w:val="006013FB"/>
    <w:rsid w:val="006063A7"/>
    <w:rsid w:val="00606DCD"/>
    <w:rsid w:val="00607BE2"/>
    <w:rsid w:val="0061054B"/>
    <w:rsid w:val="0062628D"/>
    <w:rsid w:val="00626453"/>
    <w:rsid w:val="00633DD6"/>
    <w:rsid w:val="00664A66"/>
    <w:rsid w:val="00676ADA"/>
    <w:rsid w:val="00677BD2"/>
    <w:rsid w:val="00682D9C"/>
    <w:rsid w:val="00684637"/>
    <w:rsid w:val="00685277"/>
    <w:rsid w:val="00686600"/>
    <w:rsid w:val="00695769"/>
    <w:rsid w:val="0069581C"/>
    <w:rsid w:val="006A158C"/>
    <w:rsid w:val="006B0335"/>
    <w:rsid w:val="006B6654"/>
    <w:rsid w:val="006D679B"/>
    <w:rsid w:val="006D7FE5"/>
    <w:rsid w:val="006E04FA"/>
    <w:rsid w:val="006E0858"/>
    <w:rsid w:val="006E4B69"/>
    <w:rsid w:val="006E7763"/>
    <w:rsid w:val="006F5863"/>
    <w:rsid w:val="006F7427"/>
    <w:rsid w:val="00711F27"/>
    <w:rsid w:val="00714F6A"/>
    <w:rsid w:val="00723E93"/>
    <w:rsid w:val="00724F3C"/>
    <w:rsid w:val="007264C5"/>
    <w:rsid w:val="00735823"/>
    <w:rsid w:val="007615EB"/>
    <w:rsid w:val="007718DC"/>
    <w:rsid w:val="00772526"/>
    <w:rsid w:val="007923B5"/>
    <w:rsid w:val="00794A76"/>
    <w:rsid w:val="007A028F"/>
    <w:rsid w:val="007A27DC"/>
    <w:rsid w:val="007C2442"/>
    <w:rsid w:val="007C532D"/>
    <w:rsid w:val="007D187A"/>
    <w:rsid w:val="007E3EA5"/>
    <w:rsid w:val="008023E1"/>
    <w:rsid w:val="00805A96"/>
    <w:rsid w:val="00806C94"/>
    <w:rsid w:val="008165E6"/>
    <w:rsid w:val="00837848"/>
    <w:rsid w:val="00841725"/>
    <w:rsid w:val="00852838"/>
    <w:rsid w:val="00855F73"/>
    <w:rsid w:val="00856E14"/>
    <w:rsid w:val="00867AD3"/>
    <w:rsid w:val="00874581"/>
    <w:rsid w:val="00876585"/>
    <w:rsid w:val="008806F3"/>
    <w:rsid w:val="00890128"/>
    <w:rsid w:val="008A7A30"/>
    <w:rsid w:val="008B1FB7"/>
    <w:rsid w:val="008B4D87"/>
    <w:rsid w:val="008B5F91"/>
    <w:rsid w:val="008B6B1F"/>
    <w:rsid w:val="008B6BEC"/>
    <w:rsid w:val="008C0283"/>
    <w:rsid w:val="008C45C6"/>
    <w:rsid w:val="008C58C1"/>
    <w:rsid w:val="008C7470"/>
    <w:rsid w:val="008D14B3"/>
    <w:rsid w:val="008D298F"/>
    <w:rsid w:val="008E05F5"/>
    <w:rsid w:val="00900AB6"/>
    <w:rsid w:val="00913E20"/>
    <w:rsid w:val="00913F17"/>
    <w:rsid w:val="009140A0"/>
    <w:rsid w:val="00922646"/>
    <w:rsid w:val="009300EF"/>
    <w:rsid w:val="00946871"/>
    <w:rsid w:val="009538E7"/>
    <w:rsid w:val="00957E87"/>
    <w:rsid w:val="00961CDF"/>
    <w:rsid w:val="00966AF7"/>
    <w:rsid w:val="00971141"/>
    <w:rsid w:val="0097339A"/>
    <w:rsid w:val="009760A6"/>
    <w:rsid w:val="00980FBB"/>
    <w:rsid w:val="009848C2"/>
    <w:rsid w:val="009863C2"/>
    <w:rsid w:val="009A171D"/>
    <w:rsid w:val="009A443F"/>
    <w:rsid w:val="009C3023"/>
    <w:rsid w:val="009C3411"/>
    <w:rsid w:val="009C59A8"/>
    <w:rsid w:val="009C69E9"/>
    <w:rsid w:val="009E263F"/>
    <w:rsid w:val="009F24C6"/>
    <w:rsid w:val="009F4010"/>
    <w:rsid w:val="009F594A"/>
    <w:rsid w:val="00A21EA6"/>
    <w:rsid w:val="00A257F0"/>
    <w:rsid w:val="00A27AFF"/>
    <w:rsid w:val="00A3597D"/>
    <w:rsid w:val="00A56155"/>
    <w:rsid w:val="00A6434A"/>
    <w:rsid w:val="00A67DA6"/>
    <w:rsid w:val="00A70655"/>
    <w:rsid w:val="00A738BE"/>
    <w:rsid w:val="00A757C6"/>
    <w:rsid w:val="00A778A2"/>
    <w:rsid w:val="00A82D39"/>
    <w:rsid w:val="00A84C14"/>
    <w:rsid w:val="00A919C6"/>
    <w:rsid w:val="00A9382B"/>
    <w:rsid w:val="00A94D81"/>
    <w:rsid w:val="00A97251"/>
    <w:rsid w:val="00AA1ED3"/>
    <w:rsid w:val="00AB39ED"/>
    <w:rsid w:val="00AC3D7F"/>
    <w:rsid w:val="00AC4572"/>
    <w:rsid w:val="00AC6BBF"/>
    <w:rsid w:val="00AC7E85"/>
    <w:rsid w:val="00AD16B3"/>
    <w:rsid w:val="00AD359F"/>
    <w:rsid w:val="00AE1A72"/>
    <w:rsid w:val="00AE7443"/>
    <w:rsid w:val="00AF45C5"/>
    <w:rsid w:val="00AF6369"/>
    <w:rsid w:val="00B10704"/>
    <w:rsid w:val="00B2433B"/>
    <w:rsid w:val="00B35FAD"/>
    <w:rsid w:val="00B45AD5"/>
    <w:rsid w:val="00B705BE"/>
    <w:rsid w:val="00B80407"/>
    <w:rsid w:val="00B83688"/>
    <w:rsid w:val="00B85463"/>
    <w:rsid w:val="00B863A0"/>
    <w:rsid w:val="00B91204"/>
    <w:rsid w:val="00BA05C8"/>
    <w:rsid w:val="00BA2D12"/>
    <w:rsid w:val="00BA56C9"/>
    <w:rsid w:val="00BB2CA4"/>
    <w:rsid w:val="00BB4824"/>
    <w:rsid w:val="00BC32E7"/>
    <w:rsid w:val="00BC3E2D"/>
    <w:rsid w:val="00BE276E"/>
    <w:rsid w:val="00BE4AD4"/>
    <w:rsid w:val="00BE64FA"/>
    <w:rsid w:val="00BF1792"/>
    <w:rsid w:val="00C034F1"/>
    <w:rsid w:val="00C07D21"/>
    <w:rsid w:val="00C11E85"/>
    <w:rsid w:val="00C137C4"/>
    <w:rsid w:val="00C15801"/>
    <w:rsid w:val="00C2233B"/>
    <w:rsid w:val="00C354D7"/>
    <w:rsid w:val="00C35C9A"/>
    <w:rsid w:val="00C3656C"/>
    <w:rsid w:val="00C464CB"/>
    <w:rsid w:val="00C5619A"/>
    <w:rsid w:val="00C6020D"/>
    <w:rsid w:val="00C61383"/>
    <w:rsid w:val="00C62C28"/>
    <w:rsid w:val="00C65DB8"/>
    <w:rsid w:val="00C673C8"/>
    <w:rsid w:val="00C705E6"/>
    <w:rsid w:val="00C71718"/>
    <w:rsid w:val="00C75626"/>
    <w:rsid w:val="00C859FB"/>
    <w:rsid w:val="00C95559"/>
    <w:rsid w:val="00CB47C8"/>
    <w:rsid w:val="00CC2998"/>
    <w:rsid w:val="00CC31CA"/>
    <w:rsid w:val="00CD09CF"/>
    <w:rsid w:val="00CD281E"/>
    <w:rsid w:val="00CD7707"/>
    <w:rsid w:val="00D051FA"/>
    <w:rsid w:val="00D0776B"/>
    <w:rsid w:val="00D17B17"/>
    <w:rsid w:val="00D20B0F"/>
    <w:rsid w:val="00D21131"/>
    <w:rsid w:val="00D348A1"/>
    <w:rsid w:val="00D40953"/>
    <w:rsid w:val="00D44D90"/>
    <w:rsid w:val="00D46354"/>
    <w:rsid w:val="00D54EFA"/>
    <w:rsid w:val="00D62BFB"/>
    <w:rsid w:val="00D6721D"/>
    <w:rsid w:val="00D67BFE"/>
    <w:rsid w:val="00D726DA"/>
    <w:rsid w:val="00D72765"/>
    <w:rsid w:val="00D76873"/>
    <w:rsid w:val="00D83F87"/>
    <w:rsid w:val="00D9165B"/>
    <w:rsid w:val="00D97561"/>
    <w:rsid w:val="00DA10EF"/>
    <w:rsid w:val="00DA170D"/>
    <w:rsid w:val="00DA5FC3"/>
    <w:rsid w:val="00DA799F"/>
    <w:rsid w:val="00DB466C"/>
    <w:rsid w:val="00DB71A3"/>
    <w:rsid w:val="00DC1D5C"/>
    <w:rsid w:val="00DC4681"/>
    <w:rsid w:val="00DC5894"/>
    <w:rsid w:val="00DD54A8"/>
    <w:rsid w:val="00DD6EF3"/>
    <w:rsid w:val="00DE6BF9"/>
    <w:rsid w:val="00DE7014"/>
    <w:rsid w:val="00E03DF4"/>
    <w:rsid w:val="00E1043D"/>
    <w:rsid w:val="00E24EC3"/>
    <w:rsid w:val="00E26531"/>
    <w:rsid w:val="00E3067E"/>
    <w:rsid w:val="00E351C7"/>
    <w:rsid w:val="00E36A30"/>
    <w:rsid w:val="00E3777E"/>
    <w:rsid w:val="00E420ED"/>
    <w:rsid w:val="00E44736"/>
    <w:rsid w:val="00E45165"/>
    <w:rsid w:val="00E57852"/>
    <w:rsid w:val="00E60C98"/>
    <w:rsid w:val="00E82E8E"/>
    <w:rsid w:val="00E83DC2"/>
    <w:rsid w:val="00E83F85"/>
    <w:rsid w:val="00E845C2"/>
    <w:rsid w:val="00E85782"/>
    <w:rsid w:val="00E9715E"/>
    <w:rsid w:val="00EA1DC9"/>
    <w:rsid w:val="00EA379E"/>
    <w:rsid w:val="00EB2335"/>
    <w:rsid w:val="00EB500C"/>
    <w:rsid w:val="00EC05AA"/>
    <w:rsid w:val="00EC0944"/>
    <w:rsid w:val="00EC4ACA"/>
    <w:rsid w:val="00EC689B"/>
    <w:rsid w:val="00ED3B04"/>
    <w:rsid w:val="00ED3E20"/>
    <w:rsid w:val="00ED693D"/>
    <w:rsid w:val="00EE14F2"/>
    <w:rsid w:val="00EE5591"/>
    <w:rsid w:val="00EF0D61"/>
    <w:rsid w:val="00EF3957"/>
    <w:rsid w:val="00F03D74"/>
    <w:rsid w:val="00F17571"/>
    <w:rsid w:val="00F2086D"/>
    <w:rsid w:val="00F32416"/>
    <w:rsid w:val="00F35E78"/>
    <w:rsid w:val="00F42857"/>
    <w:rsid w:val="00F514BA"/>
    <w:rsid w:val="00F520E5"/>
    <w:rsid w:val="00F54F28"/>
    <w:rsid w:val="00F55887"/>
    <w:rsid w:val="00F700A9"/>
    <w:rsid w:val="00F72F83"/>
    <w:rsid w:val="00F73AB1"/>
    <w:rsid w:val="00F75081"/>
    <w:rsid w:val="00F76B0A"/>
    <w:rsid w:val="00F839B6"/>
    <w:rsid w:val="00F8600B"/>
    <w:rsid w:val="00F866D8"/>
    <w:rsid w:val="00F91EE5"/>
    <w:rsid w:val="00FA7FAA"/>
    <w:rsid w:val="00FB45AC"/>
    <w:rsid w:val="00FB7A1F"/>
    <w:rsid w:val="00FC1D27"/>
    <w:rsid w:val="00FD1042"/>
    <w:rsid w:val="00FD2460"/>
    <w:rsid w:val="00FD7B33"/>
    <w:rsid w:val="00FE7ED7"/>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B863A0"/>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B863A0"/>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7B59-8C1A-4F5F-9F86-CD8BE368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2</cp:revision>
  <cp:lastPrinted>2016-06-30T11:54:00Z</cp:lastPrinted>
  <dcterms:created xsi:type="dcterms:W3CDTF">2016-07-25T19:16:00Z</dcterms:created>
  <dcterms:modified xsi:type="dcterms:W3CDTF">2016-07-25T19:16:00Z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