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B2B3" w14:textId="5BF6BEC1" w:rsidR="00C07D21" w:rsidRPr="00775EBD" w:rsidRDefault="00951E37" w:rsidP="00C07D21">
      <w:pPr>
        <w:spacing w:after="0" w:line="240" w:lineRule="auto"/>
        <w:rPr>
          <w:rFonts w:ascii="Times New Roman" w:hAnsi="Times New Roman"/>
        </w:rPr>
      </w:pPr>
      <w:bookmarkStart w:id="0" w:name="_GoBack"/>
      <w:bookmarkEnd w:id="0"/>
      <w:r>
        <w:rPr>
          <w:rFonts w:ascii="Times New Roman" w:hAnsi="Times New Roman"/>
        </w:rPr>
        <w:t>November 9</w:t>
      </w:r>
      <w:r w:rsidR="00852838">
        <w:rPr>
          <w:rFonts w:ascii="Times New Roman" w:hAnsi="Times New Roman"/>
        </w:rPr>
        <w:t>, 2016</w:t>
      </w:r>
      <w:r w:rsidR="00634D65">
        <w:rPr>
          <w:rFonts w:ascii="Times New Roman" w:hAnsi="Times New Roman"/>
        </w:rPr>
        <w:t xml:space="preserve"> </w:t>
      </w:r>
    </w:p>
    <w:p w14:paraId="5C923DD7" w14:textId="77777777" w:rsidR="00C07D21" w:rsidRPr="00775EBD" w:rsidRDefault="00C07D21" w:rsidP="00C07D21">
      <w:pPr>
        <w:spacing w:after="0" w:line="240" w:lineRule="auto"/>
        <w:rPr>
          <w:rFonts w:ascii="Times New Roman" w:hAnsi="Times New Roman"/>
        </w:rPr>
      </w:pPr>
      <w:r w:rsidRPr="00775EBD">
        <w:rPr>
          <w:rFonts w:ascii="Times New Roman" w:hAnsi="Times New Roman"/>
        </w:rPr>
        <w:br/>
        <w:t>Technical Director</w:t>
      </w:r>
      <w:r w:rsidRPr="00775EBD">
        <w:rPr>
          <w:rFonts w:ascii="Times New Roman" w:hAnsi="Times New Roman"/>
        </w:rPr>
        <w:br/>
        <w:t>Financial Accounting Standards Board</w:t>
      </w:r>
      <w:r w:rsidRPr="00775EBD">
        <w:rPr>
          <w:rFonts w:ascii="Times New Roman" w:hAnsi="Times New Roman"/>
        </w:rPr>
        <w:br/>
        <w:t>401 Merritt 7, P.O. Box 5116</w:t>
      </w:r>
    </w:p>
    <w:p w14:paraId="715B3F83" w14:textId="77777777" w:rsidR="00C07D21" w:rsidRPr="00775EBD" w:rsidRDefault="00C07D21" w:rsidP="00C07D21">
      <w:pPr>
        <w:spacing w:after="0" w:line="240" w:lineRule="auto"/>
        <w:rPr>
          <w:rFonts w:ascii="Times New Roman" w:hAnsi="Times New Roman"/>
        </w:rPr>
      </w:pPr>
      <w:r w:rsidRPr="00775EBD">
        <w:rPr>
          <w:rFonts w:ascii="Times New Roman" w:hAnsi="Times New Roman"/>
        </w:rPr>
        <w:t>Norwalk, CT 06856-5116</w:t>
      </w:r>
    </w:p>
    <w:p w14:paraId="54A07FB2" w14:textId="77777777" w:rsidR="00C07D21" w:rsidRPr="00775EBD" w:rsidRDefault="00C07D21" w:rsidP="00C07D21">
      <w:pPr>
        <w:spacing w:after="0" w:line="240" w:lineRule="auto"/>
        <w:rPr>
          <w:rFonts w:ascii="Times New Roman" w:hAnsi="Times New Roman"/>
        </w:rPr>
      </w:pPr>
    </w:p>
    <w:p w14:paraId="2C4FBA4A" w14:textId="39351747" w:rsidR="00C07D21" w:rsidRPr="00775EBD" w:rsidRDefault="00C07D21" w:rsidP="00D44D90">
      <w:pPr>
        <w:spacing w:after="0" w:line="240" w:lineRule="auto"/>
        <w:jc w:val="both"/>
        <w:rPr>
          <w:rFonts w:ascii="Times New Roman" w:hAnsi="Times New Roman"/>
        </w:rPr>
      </w:pPr>
      <w:r w:rsidRPr="00775EBD">
        <w:rPr>
          <w:rFonts w:ascii="Times New Roman" w:hAnsi="Times New Roman"/>
        </w:rPr>
        <w:t xml:space="preserve">File Reference </w:t>
      </w:r>
      <w:r w:rsidR="00806C94">
        <w:rPr>
          <w:rFonts w:ascii="Times New Roman" w:hAnsi="Times New Roman"/>
        </w:rPr>
        <w:t xml:space="preserve">No. </w:t>
      </w:r>
      <w:r w:rsidR="00972817">
        <w:rPr>
          <w:rFonts w:ascii="Times New Roman" w:hAnsi="Times New Roman"/>
        </w:rPr>
        <w:t>2016-</w:t>
      </w:r>
      <w:r w:rsidR="00951E37">
        <w:rPr>
          <w:rFonts w:ascii="Times New Roman" w:hAnsi="Times New Roman"/>
        </w:rPr>
        <w:t>300</w:t>
      </w:r>
    </w:p>
    <w:p w14:paraId="09AA6E92" w14:textId="77777777" w:rsidR="00C07D21" w:rsidRPr="00775EBD" w:rsidRDefault="00C07D21" w:rsidP="00D44D90">
      <w:pPr>
        <w:spacing w:after="0" w:line="240" w:lineRule="auto"/>
        <w:jc w:val="both"/>
        <w:rPr>
          <w:rFonts w:ascii="Times New Roman" w:hAnsi="Times New Roman"/>
        </w:rPr>
      </w:pPr>
    </w:p>
    <w:p w14:paraId="6A6087AA" w14:textId="59868915" w:rsidR="00FA7FAA" w:rsidRDefault="00FA7FAA" w:rsidP="00D44D90">
      <w:pPr>
        <w:spacing w:after="0" w:line="240" w:lineRule="auto"/>
        <w:jc w:val="both"/>
        <w:rPr>
          <w:rFonts w:ascii="Times New Roman" w:hAnsi="Times New Roman"/>
        </w:rPr>
      </w:pPr>
      <w:r>
        <w:rPr>
          <w:rFonts w:ascii="Times New Roman" w:hAnsi="Times New Roman"/>
        </w:rPr>
        <w:t xml:space="preserve">The Accounting Principles Committee of the Illinois CPA Society (Committee) appreciates the opportunity to provide its perspective on the </w:t>
      </w:r>
      <w:r w:rsidR="00D44D90" w:rsidRPr="00D44D90">
        <w:rPr>
          <w:rFonts w:ascii="Times New Roman" w:hAnsi="Times New Roman"/>
        </w:rPr>
        <w:t xml:space="preserve">Proposed </w:t>
      </w:r>
      <w:r w:rsidR="00951E37">
        <w:rPr>
          <w:rFonts w:ascii="Times New Roman" w:hAnsi="Times New Roman"/>
        </w:rPr>
        <w:t xml:space="preserve">Statement of Financial </w:t>
      </w:r>
      <w:r w:rsidR="00D44D90" w:rsidRPr="00D44D90">
        <w:rPr>
          <w:rFonts w:ascii="Times New Roman" w:hAnsi="Times New Roman"/>
        </w:rPr>
        <w:t xml:space="preserve">Accounting </w:t>
      </w:r>
      <w:r w:rsidR="00951E37">
        <w:rPr>
          <w:rFonts w:ascii="Times New Roman" w:hAnsi="Times New Roman"/>
        </w:rPr>
        <w:t>Concepts</w:t>
      </w:r>
      <w:r w:rsidR="00157719">
        <w:rPr>
          <w:rFonts w:ascii="Times New Roman" w:hAnsi="Times New Roman"/>
        </w:rPr>
        <w:t>,</w:t>
      </w:r>
      <w:r w:rsidR="00951E37">
        <w:rPr>
          <w:rFonts w:ascii="Times New Roman" w:hAnsi="Times New Roman"/>
          <w:i/>
          <w:iCs/>
        </w:rPr>
        <w:t xml:space="preserve"> </w:t>
      </w:r>
      <w:r w:rsidR="00157719">
        <w:rPr>
          <w:rFonts w:ascii="Times New Roman" w:hAnsi="Times New Roman"/>
          <w:i/>
          <w:iCs/>
        </w:rPr>
        <w:t>Concepts Statement 8</w:t>
      </w:r>
      <w:r w:rsidR="00951E37">
        <w:rPr>
          <w:rFonts w:ascii="Times New Roman" w:hAnsi="Times New Roman"/>
          <w:i/>
          <w:iCs/>
        </w:rPr>
        <w:t>—Conceptual Framework for Financial Reporting—Chapter 7: Presentation</w:t>
      </w:r>
      <w:r w:rsidR="00255FF0">
        <w:rPr>
          <w:rFonts w:ascii="Times New Roman" w:hAnsi="Times New Roman"/>
          <w:i/>
          <w:iCs/>
        </w:rPr>
        <w:t xml:space="preserve"> </w:t>
      </w:r>
      <w:r w:rsidR="00255FF0" w:rsidRPr="00255FF0">
        <w:rPr>
          <w:rFonts w:ascii="Times New Roman" w:hAnsi="Times New Roman"/>
          <w:iCs/>
        </w:rPr>
        <w:t>(the “Chapter”)</w:t>
      </w:r>
      <w:r>
        <w:rPr>
          <w:rFonts w:ascii="Times New Roman" w:hAnsi="Times New Roman"/>
        </w:rPr>
        <w:t>. The Committee is a voluntary group of CPAs from public practice, industry and education. Our comments represent the collective views of the Committee members and not the individual views of the members or the organizations w</w:t>
      </w:r>
      <w:r w:rsidR="00AF5D54">
        <w:rPr>
          <w:rFonts w:ascii="Times New Roman" w:hAnsi="Times New Roman"/>
        </w:rPr>
        <w:t xml:space="preserve">ith which they are affiliated. </w:t>
      </w:r>
      <w:r>
        <w:rPr>
          <w:rFonts w:ascii="Times New Roman" w:hAnsi="Times New Roman"/>
        </w:rPr>
        <w:t>The organization and operating procedures of the Committee are outlined in Appendix A to this letter.</w:t>
      </w:r>
    </w:p>
    <w:p w14:paraId="041089F9" w14:textId="77777777" w:rsidR="00A67DAE" w:rsidRDefault="00A67DAE" w:rsidP="00D44D90">
      <w:pPr>
        <w:spacing w:after="0" w:line="240" w:lineRule="auto"/>
        <w:jc w:val="both"/>
        <w:rPr>
          <w:rFonts w:ascii="Times New Roman" w:hAnsi="Times New Roman"/>
        </w:rPr>
      </w:pPr>
    </w:p>
    <w:p w14:paraId="79878D4C" w14:textId="1945C66B" w:rsidR="00F31E80" w:rsidRDefault="00F45612" w:rsidP="00A67DAE">
      <w:pPr>
        <w:spacing w:after="0" w:line="240" w:lineRule="auto"/>
        <w:jc w:val="both"/>
        <w:rPr>
          <w:rFonts w:ascii="Times New Roman" w:hAnsi="Times New Roman"/>
        </w:rPr>
      </w:pPr>
      <w:r>
        <w:rPr>
          <w:rFonts w:ascii="Times New Roman" w:hAnsi="Times New Roman"/>
        </w:rPr>
        <w:t>W</w:t>
      </w:r>
      <w:r w:rsidR="002C22EC" w:rsidRPr="008C45C6">
        <w:rPr>
          <w:rFonts w:ascii="Times New Roman" w:hAnsi="Times New Roman"/>
        </w:rPr>
        <w:t xml:space="preserve">e </w:t>
      </w:r>
      <w:r w:rsidR="00951E37">
        <w:rPr>
          <w:rFonts w:ascii="Times New Roman" w:hAnsi="Times New Roman"/>
        </w:rPr>
        <w:t xml:space="preserve">are supportive of </w:t>
      </w:r>
      <w:r w:rsidR="00171230">
        <w:rPr>
          <w:rFonts w:ascii="Times New Roman" w:hAnsi="Times New Roman"/>
        </w:rPr>
        <w:t xml:space="preserve">the </w:t>
      </w:r>
      <w:r w:rsidR="00E04AF4">
        <w:rPr>
          <w:rFonts w:ascii="Times New Roman" w:hAnsi="Times New Roman"/>
        </w:rPr>
        <w:t xml:space="preserve">Board’s </w:t>
      </w:r>
      <w:r w:rsidR="00375DB3">
        <w:rPr>
          <w:rFonts w:ascii="Times New Roman" w:hAnsi="Times New Roman"/>
        </w:rPr>
        <w:t xml:space="preserve">initiative </w:t>
      </w:r>
      <w:r w:rsidR="00E04AF4">
        <w:rPr>
          <w:rFonts w:ascii="Times New Roman" w:hAnsi="Times New Roman"/>
        </w:rPr>
        <w:t xml:space="preserve">to </w:t>
      </w:r>
      <w:r w:rsidR="00375DB3">
        <w:rPr>
          <w:rFonts w:ascii="Times New Roman" w:hAnsi="Times New Roman"/>
        </w:rPr>
        <w:t xml:space="preserve">remove </w:t>
      </w:r>
      <w:r>
        <w:rPr>
          <w:rFonts w:ascii="Times New Roman" w:hAnsi="Times New Roman"/>
        </w:rPr>
        <w:t xml:space="preserve">the concepts related to presenting information about items that have been recognized in the financial statements from </w:t>
      </w:r>
      <w:r w:rsidR="00375DB3">
        <w:rPr>
          <w:rFonts w:ascii="Times New Roman" w:hAnsi="Times New Roman"/>
        </w:rPr>
        <w:t>Concepts Statement No. 5</w:t>
      </w:r>
      <w:r w:rsidR="00F31E80">
        <w:rPr>
          <w:rFonts w:ascii="Times New Roman" w:hAnsi="Times New Roman"/>
        </w:rPr>
        <w:t xml:space="preserve">, </w:t>
      </w:r>
      <w:r w:rsidR="00171230" w:rsidRPr="00171230">
        <w:rPr>
          <w:rFonts w:ascii="Times New Roman" w:hAnsi="Times New Roman"/>
          <w:i/>
        </w:rPr>
        <w:t>Recognition and Measurement in Financial Statements of Business Enterprises</w:t>
      </w:r>
      <w:r w:rsidR="00171230">
        <w:rPr>
          <w:rFonts w:ascii="Times New Roman" w:hAnsi="Times New Roman"/>
        </w:rPr>
        <w:t>, a</w:t>
      </w:r>
      <w:r w:rsidR="00375DB3">
        <w:rPr>
          <w:rFonts w:ascii="Times New Roman" w:hAnsi="Times New Roman"/>
        </w:rPr>
        <w:t>nd further develop</w:t>
      </w:r>
      <w:r>
        <w:rPr>
          <w:rFonts w:ascii="Times New Roman" w:hAnsi="Times New Roman"/>
        </w:rPr>
        <w:t xml:space="preserve"> them</w:t>
      </w:r>
      <w:r w:rsidR="00255FF0">
        <w:rPr>
          <w:rFonts w:ascii="Times New Roman" w:hAnsi="Times New Roman"/>
        </w:rPr>
        <w:t xml:space="preserve">. </w:t>
      </w:r>
      <w:r>
        <w:rPr>
          <w:rFonts w:ascii="Times New Roman" w:hAnsi="Times New Roman"/>
        </w:rPr>
        <w:t xml:space="preserve">Presentation and recognition </w:t>
      </w:r>
      <w:r w:rsidR="00255FF0">
        <w:rPr>
          <w:rFonts w:ascii="Times New Roman" w:hAnsi="Times New Roman"/>
        </w:rPr>
        <w:t xml:space="preserve">concepts </w:t>
      </w:r>
      <w:r>
        <w:rPr>
          <w:rFonts w:ascii="Times New Roman" w:hAnsi="Times New Roman"/>
        </w:rPr>
        <w:t>should not be comingled in the same document</w:t>
      </w:r>
      <w:r w:rsidR="00E62AB6">
        <w:rPr>
          <w:rFonts w:ascii="Times New Roman" w:hAnsi="Times New Roman"/>
        </w:rPr>
        <w:t>, and further development of the presentation concepts should add consistency to presentation decisions and reduce case-by-cas</w:t>
      </w:r>
      <w:r w:rsidR="00B86FB3">
        <w:rPr>
          <w:rFonts w:ascii="Times New Roman" w:hAnsi="Times New Roman"/>
        </w:rPr>
        <w:t>e standard setting decisions</w:t>
      </w:r>
      <w:r w:rsidR="00F31E80">
        <w:rPr>
          <w:rFonts w:ascii="Times New Roman" w:hAnsi="Times New Roman"/>
        </w:rPr>
        <w:t xml:space="preserve">. </w:t>
      </w:r>
      <w:r w:rsidR="00255FF0">
        <w:rPr>
          <w:rFonts w:ascii="Times New Roman" w:hAnsi="Times New Roman"/>
        </w:rPr>
        <w:t>H</w:t>
      </w:r>
      <w:r w:rsidR="00682518">
        <w:rPr>
          <w:rFonts w:ascii="Times New Roman" w:hAnsi="Times New Roman"/>
        </w:rPr>
        <w:t xml:space="preserve">owever, </w:t>
      </w:r>
      <w:r w:rsidR="00F31E80">
        <w:rPr>
          <w:rFonts w:ascii="Times New Roman" w:hAnsi="Times New Roman"/>
        </w:rPr>
        <w:t xml:space="preserve">for the following reasons, we do not support the issuance of this </w:t>
      </w:r>
      <w:r w:rsidR="00255FF0">
        <w:rPr>
          <w:rFonts w:ascii="Times New Roman" w:hAnsi="Times New Roman"/>
        </w:rPr>
        <w:t>C</w:t>
      </w:r>
      <w:r w:rsidR="00F31E80">
        <w:rPr>
          <w:rFonts w:ascii="Times New Roman" w:hAnsi="Times New Roman"/>
        </w:rPr>
        <w:t>hapter in its present form:</w:t>
      </w:r>
    </w:p>
    <w:p w14:paraId="139A6AE7" w14:textId="77777777" w:rsidR="00F31E80" w:rsidRDefault="00F31E80" w:rsidP="00A67DAE">
      <w:pPr>
        <w:spacing w:after="0" w:line="240" w:lineRule="auto"/>
        <w:jc w:val="both"/>
        <w:rPr>
          <w:rFonts w:ascii="Times New Roman" w:hAnsi="Times New Roman"/>
        </w:rPr>
      </w:pPr>
    </w:p>
    <w:p w14:paraId="273492D4" w14:textId="54EECB8F" w:rsidR="00F31E80" w:rsidRPr="004D18BD" w:rsidRDefault="00F31E80" w:rsidP="00A67DAE">
      <w:pPr>
        <w:pStyle w:val="ListParagraph"/>
        <w:numPr>
          <w:ilvl w:val="0"/>
          <w:numId w:val="11"/>
        </w:numPr>
        <w:jc w:val="both"/>
      </w:pPr>
      <w:r>
        <w:rPr>
          <w:sz w:val="22"/>
          <w:szCs w:val="22"/>
        </w:rPr>
        <w:t>T</w:t>
      </w:r>
      <w:r w:rsidRPr="00F31E80">
        <w:rPr>
          <w:sz w:val="22"/>
          <w:szCs w:val="22"/>
        </w:rPr>
        <w:t xml:space="preserve">he </w:t>
      </w:r>
      <w:r w:rsidR="00255FF0">
        <w:rPr>
          <w:sz w:val="22"/>
          <w:szCs w:val="22"/>
        </w:rPr>
        <w:t>C</w:t>
      </w:r>
      <w:r w:rsidR="00116E04">
        <w:rPr>
          <w:sz w:val="22"/>
          <w:szCs w:val="22"/>
        </w:rPr>
        <w:t>hapter</w:t>
      </w:r>
      <w:r w:rsidRPr="00F31E80">
        <w:rPr>
          <w:sz w:val="22"/>
          <w:szCs w:val="22"/>
        </w:rPr>
        <w:t xml:space="preserve"> touches on the articulation of the financial statements with each other</w:t>
      </w:r>
      <w:r>
        <w:rPr>
          <w:sz w:val="22"/>
          <w:szCs w:val="22"/>
        </w:rPr>
        <w:t xml:space="preserve">; however, </w:t>
      </w:r>
      <w:r w:rsidRPr="00F31E80">
        <w:rPr>
          <w:sz w:val="22"/>
          <w:szCs w:val="22"/>
        </w:rPr>
        <w:t>statement</w:t>
      </w:r>
      <w:r>
        <w:rPr>
          <w:sz w:val="22"/>
          <w:szCs w:val="22"/>
        </w:rPr>
        <w:t>s</w:t>
      </w:r>
      <w:r w:rsidRPr="00F31E80">
        <w:rPr>
          <w:sz w:val="22"/>
          <w:szCs w:val="22"/>
        </w:rPr>
        <w:t xml:space="preserve"> </w:t>
      </w:r>
      <w:r w:rsidR="00171230">
        <w:rPr>
          <w:sz w:val="22"/>
          <w:szCs w:val="22"/>
        </w:rPr>
        <w:t xml:space="preserve">made in this </w:t>
      </w:r>
      <w:r w:rsidR="00255FF0">
        <w:rPr>
          <w:sz w:val="22"/>
          <w:szCs w:val="22"/>
        </w:rPr>
        <w:t>C</w:t>
      </w:r>
      <w:r w:rsidR="00171230">
        <w:rPr>
          <w:sz w:val="22"/>
          <w:szCs w:val="22"/>
        </w:rPr>
        <w:t xml:space="preserve">hapter </w:t>
      </w:r>
      <w:r>
        <w:rPr>
          <w:sz w:val="22"/>
          <w:szCs w:val="22"/>
        </w:rPr>
        <w:t>that the association between line items should be made “apparent” (paragraphs PR16 and BC7.12) suggest that the Board is pivoting to a new</w:t>
      </w:r>
      <w:r w:rsidR="00157719">
        <w:rPr>
          <w:sz w:val="22"/>
          <w:szCs w:val="22"/>
        </w:rPr>
        <w:t>, broader</w:t>
      </w:r>
      <w:r>
        <w:rPr>
          <w:sz w:val="22"/>
          <w:szCs w:val="22"/>
        </w:rPr>
        <w:t xml:space="preserve"> definition </w:t>
      </w:r>
      <w:r w:rsidR="00171230">
        <w:rPr>
          <w:sz w:val="22"/>
          <w:szCs w:val="22"/>
        </w:rPr>
        <w:t xml:space="preserve">of articulation </w:t>
      </w:r>
      <w:r>
        <w:rPr>
          <w:sz w:val="22"/>
          <w:szCs w:val="22"/>
        </w:rPr>
        <w:t xml:space="preserve">that </w:t>
      </w:r>
      <w:r w:rsidR="00171230">
        <w:rPr>
          <w:sz w:val="22"/>
          <w:szCs w:val="22"/>
        </w:rPr>
        <w:t xml:space="preserve">is </w:t>
      </w:r>
      <w:r w:rsidR="0080507E">
        <w:rPr>
          <w:sz w:val="22"/>
          <w:szCs w:val="22"/>
        </w:rPr>
        <w:t>akin to</w:t>
      </w:r>
      <w:r>
        <w:rPr>
          <w:sz w:val="22"/>
          <w:szCs w:val="22"/>
        </w:rPr>
        <w:t xml:space="preserve"> financial statement cohesiveness</w:t>
      </w:r>
      <w:r w:rsidR="00157719">
        <w:rPr>
          <w:sz w:val="22"/>
          <w:szCs w:val="22"/>
        </w:rPr>
        <w:t xml:space="preserve"> (i.e. the relationship between financial statement line items is clear)</w:t>
      </w:r>
      <w:r>
        <w:rPr>
          <w:sz w:val="22"/>
          <w:szCs w:val="22"/>
        </w:rPr>
        <w:t xml:space="preserve">. </w:t>
      </w:r>
      <w:r w:rsidRPr="0041209A">
        <w:rPr>
          <w:sz w:val="22"/>
          <w:szCs w:val="22"/>
        </w:rPr>
        <w:t>If that is the Board’s intent,</w:t>
      </w:r>
      <w:r w:rsidR="00171230" w:rsidRPr="0041209A">
        <w:rPr>
          <w:sz w:val="22"/>
          <w:szCs w:val="22"/>
        </w:rPr>
        <w:t xml:space="preserve"> </w:t>
      </w:r>
      <w:r w:rsidR="0041209A" w:rsidRPr="0041209A">
        <w:rPr>
          <w:sz w:val="22"/>
          <w:szCs w:val="22"/>
        </w:rPr>
        <w:t>we suggest it be addressed more directly</w:t>
      </w:r>
      <w:r w:rsidR="0041209A">
        <w:rPr>
          <w:sz w:val="22"/>
          <w:szCs w:val="22"/>
        </w:rPr>
        <w:t xml:space="preserve"> and supported in the Basis for Conclusions</w:t>
      </w:r>
      <w:r w:rsidR="00255FF0">
        <w:rPr>
          <w:sz w:val="22"/>
          <w:szCs w:val="22"/>
        </w:rPr>
        <w:t xml:space="preserve">. </w:t>
      </w:r>
      <w:r w:rsidR="0041209A" w:rsidRPr="0041209A">
        <w:rPr>
          <w:sz w:val="22"/>
          <w:szCs w:val="22"/>
        </w:rPr>
        <w:t xml:space="preserve">We further suggest that </w:t>
      </w:r>
      <w:r w:rsidR="0041209A">
        <w:rPr>
          <w:sz w:val="22"/>
          <w:szCs w:val="22"/>
        </w:rPr>
        <w:t xml:space="preserve">the concept of making associations </w:t>
      </w:r>
      <w:r w:rsidR="00255FF0">
        <w:rPr>
          <w:sz w:val="22"/>
          <w:szCs w:val="22"/>
        </w:rPr>
        <w:t xml:space="preserve">between financial statement line items </w:t>
      </w:r>
      <w:r w:rsidR="0041209A">
        <w:rPr>
          <w:sz w:val="22"/>
          <w:szCs w:val="22"/>
        </w:rPr>
        <w:t xml:space="preserve">“more apparent” be balanced by reference to the </w:t>
      </w:r>
      <w:r w:rsidR="00255FF0">
        <w:rPr>
          <w:sz w:val="22"/>
          <w:szCs w:val="22"/>
        </w:rPr>
        <w:t xml:space="preserve">concept that </w:t>
      </w:r>
      <w:r w:rsidR="0041209A" w:rsidRPr="0041209A">
        <w:rPr>
          <w:sz w:val="22"/>
          <w:szCs w:val="22"/>
        </w:rPr>
        <w:t>“some information that is useful to resource providers is better provided, or can only be provided, by notes to financial statements” or other means of financial reporting</w:t>
      </w:r>
      <w:r w:rsidR="00255FF0">
        <w:rPr>
          <w:sz w:val="22"/>
          <w:szCs w:val="22"/>
        </w:rPr>
        <w:t xml:space="preserve"> (in p</w:t>
      </w:r>
      <w:r w:rsidR="00255FF0" w:rsidRPr="0041209A">
        <w:rPr>
          <w:sz w:val="22"/>
          <w:szCs w:val="22"/>
        </w:rPr>
        <w:t>aragraph PR12</w:t>
      </w:r>
      <w:r w:rsidR="00255FF0">
        <w:rPr>
          <w:sz w:val="22"/>
          <w:szCs w:val="22"/>
        </w:rPr>
        <w:t>)</w:t>
      </w:r>
      <w:r w:rsidR="0041209A" w:rsidRPr="0041209A">
        <w:rPr>
          <w:sz w:val="22"/>
          <w:szCs w:val="22"/>
        </w:rPr>
        <w:t>.</w:t>
      </w:r>
      <w:r w:rsidR="0041209A" w:rsidRPr="004D18BD">
        <w:rPr>
          <w:sz w:val="22"/>
          <w:szCs w:val="22"/>
        </w:rPr>
        <w:t xml:space="preserve">  </w:t>
      </w:r>
    </w:p>
    <w:p w14:paraId="6EF04EA5" w14:textId="1748BAE3" w:rsidR="00171230" w:rsidRDefault="00171230" w:rsidP="00A67DAE">
      <w:pPr>
        <w:pStyle w:val="ListParagraph"/>
        <w:numPr>
          <w:ilvl w:val="0"/>
          <w:numId w:val="11"/>
        </w:numPr>
        <w:jc w:val="both"/>
        <w:rPr>
          <w:sz w:val="22"/>
          <w:szCs w:val="22"/>
        </w:rPr>
      </w:pPr>
      <w:r>
        <w:rPr>
          <w:sz w:val="22"/>
          <w:szCs w:val="22"/>
        </w:rPr>
        <w:t>W</w:t>
      </w:r>
      <w:r w:rsidRPr="00171230">
        <w:rPr>
          <w:sz w:val="22"/>
          <w:szCs w:val="22"/>
        </w:rPr>
        <w:t xml:space="preserve">e </w:t>
      </w:r>
      <w:r w:rsidR="0041209A">
        <w:rPr>
          <w:sz w:val="22"/>
          <w:szCs w:val="22"/>
        </w:rPr>
        <w:t xml:space="preserve">believe the statement in </w:t>
      </w:r>
      <w:r w:rsidRPr="00171230">
        <w:rPr>
          <w:sz w:val="22"/>
          <w:szCs w:val="22"/>
        </w:rPr>
        <w:t xml:space="preserve">paragraph PR31 </w:t>
      </w:r>
      <w:r w:rsidR="0041209A">
        <w:rPr>
          <w:sz w:val="22"/>
          <w:szCs w:val="22"/>
        </w:rPr>
        <w:t xml:space="preserve">that </w:t>
      </w:r>
      <w:r w:rsidRPr="00171230">
        <w:rPr>
          <w:sz w:val="22"/>
          <w:szCs w:val="22"/>
        </w:rPr>
        <w:t xml:space="preserve">there is “no conceptual basis for determining which items qualify for (other comprehensive income) treatment” </w:t>
      </w:r>
      <w:r w:rsidR="0041209A">
        <w:rPr>
          <w:sz w:val="22"/>
          <w:szCs w:val="22"/>
        </w:rPr>
        <w:t xml:space="preserve">is </w:t>
      </w:r>
      <w:r w:rsidR="00157719">
        <w:rPr>
          <w:sz w:val="22"/>
          <w:szCs w:val="22"/>
        </w:rPr>
        <w:t>not appropriate for conceptual guidance</w:t>
      </w:r>
      <w:r w:rsidR="0041209A">
        <w:rPr>
          <w:sz w:val="22"/>
          <w:szCs w:val="22"/>
        </w:rPr>
        <w:t xml:space="preserve"> that is intended to address presentation. This</w:t>
      </w:r>
      <w:r w:rsidRPr="00171230">
        <w:rPr>
          <w:sz w:val="22"/>
          <w:szCs w:val="22"/>
        </w:rPr>
        <w:t xml:space="preserve"> </w:t>
      </w:r>
      <w:r w:rsidR="00255FF0">
        <w:rPr>
          <w:sz w:val="22"/>
          <w:szCs w:val="22"/>
        </w:rPr>
        <w:t>C</w:t>
      </w:r>
      <w:r w:rsidRPr="00171230">
        <w:rPr>
          <w:sz w:val="22"/>
          <w:szCs w:val="22"/>
        </w:rPr>
        <w:t xml:space="preserve">hapter would be the appropriate place to develop concepts for making this </w:t>
      </w:r>
      <w:r>
        <w:rPr>
          <w:sz w:val="22"/>
          <w:szCs w:val="22"/>
        </w:rPr>
        <w:t xml:space="preserve">important </w:t>
      </w:r>
      <w:r w:rsidRPr="00171230">
        <w:rPr>
          <w:sz w:val="22"/>
          <w:szCs w:val="22"/>
        </w:rPr>
        <w:t>presentation determination</w:t>
      </w:r>
      <w:r w:rsidR="007A4B1F">
        <w:rPr>
          <w:sz w:val="22"/>
          <w:szCs w:val="22"/>
        </w:rPr>
        <w:t>, especially when considering that the Board continues to issue new guidance requiring items to be reported in other comprehensive income</w:t>
      </w:r>
      <w:r w:rsidRPr="00171230">
        <w:rPr>
          <w:sz w:val="22"/>
          <w:szCs w:val="22"/>
        </w:rPr>
        <w:t>.</w:t>
      </w:r>
    </w:p>
    <w:p w14:paraId="2621FF4D" w14:textId="4C9306F4" w:rsidR="00592861" w:rsidRDefault="00592861" w:rsidP="00A67DAE">
      <w:pPr>
        <w:pStyle w:val="ListParagraph"/>
        <w:numPr>
          <w:ilvl w:val="0"/>
          <w:numId w:val="11"/>
        </w:numPr>
        <w:jc w:val="both"/>
        <w:rPr>
          <w:sz w:val="22"/>
          <w:szCs w:val="22"/>
        </w:rPr>
      </w:pPr>
      <w:r>
        <w:rPr>
          <w:sz w:val="22"/>
          <w:szCs w:val="22"/>
        </w:rPr>
        <w:t xml:space="preserve">We noted that </w:t>
      </w:r>
      <w:r w:rsidRPr="00592861">
        <w:rPr>
          <w:sz w:val="22"/>
          <w:szCs w:val="22"/>
        </w:rPr>
        <w:t xml:space="preserve">the description </w:t>
      </w:r>
      <w:r w:rsidR="00255FF0">
        <w:rPr>
          <w:sz w:val="22"/>
          <w:szCs w:val="22"/>
        </w:rPr>
        <w:t xml:space="preserve">of </w:t>
      </w:r>
      <w:r w:rsidRPr="00592861">
        <w:rPr>
          <w:sz w:val="22"/>
          <w:szCs w:val="22"/>
        </w:rPr>
        <w:t xml:space="preserve">a full set of financial statements was removed from Concepts Statement No. 5 and not replaced. We understand that conceptual guidance, by its </w:t>
      </w:r>
      <w:r>
        <w:rPr>
          <w:sz w:val="22"/>
          <w:szCs w:val="22"/>
        </w:rPr>
        <w:t xml:space="preserve">very </w:t>
      </w:r>
      <w:r w:rsidRPr="00592861">
        <w:rPr>
          <w:sz w:val="22"/>
          <w:szCs w:val="22"/>
        </w:rPr>
        <w:t>nature,</w:t>
      </w:r>
      <w:r>
        <w:rPr>
          <w:sz w:val="22"/>
          <w:szCs w:val="22"/>
        </w:rPr>
        <w:t xml:space="preserve"> </w:t>
      </w:r>
      <w:r w:rsidRPr="00592861">
        <w:rPr>
          <w:sz w:val="22"/>
          <w:szCs w:val="22"/>
        </w:rPr>
        <w:t>should not be overly prescriptive and provide</w:t>
      </w:r>
      <w:r w:rsidR="0041209A">
        <w:rPr>
          <w:sz w:val="22"/>
          <w:szCs w:val="22"/>
        </w:rPr>
        <w:t>s</w:t>
      </w:r>
      <w:r w:rsidRPr="00592861">
        <w:rPr>
          <w:sz w:val="22"/>
          <w:szCs w:val="22"/>
        </w:rPr>
        <w:t xml:space="preserve"> </w:t>
      </w:r>
      <w:r>
        <w:rPr>
          <w:sz w:val="22"/>
          <w:szCs w:val="22"/>
        </w:rPr>
        <w:t xml:space="preserve">only </w:t>
      </w:r>
      <w:r w:rsidRPr="00592861">
        <w:rPr>
          <w:sz w:val="22"/>
          <w:szCs w:val="22"/>
        </w:rPr>
        <w:t>a foundation for standard setting</w:t>
      </w:r>
      <w:r w:rsidR="007A4B1F">
        <w:rPr>
          <w:sz w:val="22"/>
          <w:szCs w:val="22"/>
        </w:rPr>
        <w:t xml:space="preserve">. Nevertheless, </w:t>
      </w:r>
      <w:r>
        <w:rPr>
          <w:sz w:val="22"/>
          <w:szCs w:val="22"/>
        </w:rPr>
        <w:t xml:space="preserve">we are concerned that without </w:t>
      </w:r>
      <w:r w:rsidR="007A4B1F" w:rsidRPr="007A4B1F">
        <w:rPr>
          <w:i/>
          <w:sz w:val="22"/>
          <w:szCs w:val="22"/>
        </w:rPr>
        <w:t>any</w:t>
      </w:r>
      <w:r w:rsidR="007A4B1F">
        <w:rPr>
          <w:sz w:val="22"/>
          <w:szCs w:val="22"/>
        </w:rPr>
        <w:t xml:space="preserve"> definition of a full set of financial statements, </w:t>
      </w:r>
      <w:r w:rsidR="00255FF0">
        <w:rPr>
          <w:sz w:val="22"/>
          <w:szCs w:val="22"/>
        </w:rPr>
        <w:t xml:space="preserve">the concepts in </w:t>
      </w:r>
      <w:r w:rsidR="007A4B1F">
        <w:rPr>
          <w:sz w:val="22"/>
          <w:szCs w:val="22"/>
        </w:rPr>
        <w:t xml:space="preserve">this </w:t>
      </w:r>
      <w:r w:rsidR="00255FF0">
        <w:rPr>
          <w:sz w:val="22"/>
          <w:szCs w:val="22"/>
        </w:rPr>
        <w:t>C</w:t>
      </w:r>
      <w:r w:rsidR="0040300A">
        <w:rPr>
          <w:sz w:val="22"/>
          <w:szCs w:val="22"/>
        </w:rPr>
        <w:t>hapter</w:t>
      </w:r>
      <w:r w:rsidR="007A4B1F">
        <w:rPr>
          <w:sz w:val="22"/>
          <w:szCs w:val="22"/>
        </w:rPr>
        <w:t xml:space="preserve"> could lead to </w:t>
      </w:r>
      <w:r w:rsidR="0040300A">
        <w:rPr>
          <w:sz w:val="22"/>
          <w:szCs w:val="22"/>
        </w:rPr>
        <w:t xml:space="preserve">unintended </w:t>
      </w:r>
      <w:r w:rsidR="007A4B1F">
        <w:rPr>
          <w:sz w:val="22"/>
          <w:szCs w:val="22"/>
        </w:rPr>
        <w:t>changes</w:t>
      </w:r>
      <w:r w:rsidR="00255FF0">
        <w:rPr>
          <w:sz w:val="22"/>
          <w:szCs w:val="22"/>
        </w:rPr>
        <w:t xml:space="preserve">. </w:t>
      </w:r>
      <w:r w:rsidR="0040300A">
        <w:rPr>
          <w:sz w:val="22"/>
          <w:szCs w:val="22"/>
        </w:rPr>
        <w:t>We believe it is important to first define what a full set of financial statement</w:t>
      </w:r>
      <w:r w:rsidR="00157719">
        <w:rPr>
          <w:sz w:val="22"/>
          <w:szCs w:val="22"/>
        </w:rPr>
        <w:t>s</w:t>
      </w:r>
      <w:r w:rsidR="0040300A">
        <w:rPr>
          <w:sz w:val="22"/>
          <w:szCs w:val="22"/>
        </w:rPr>
        <w:t xml:space="preserve"> is before developing concepts pertaining to the presentation of information within those financial statements.</w:t>
      </w:r>
    </w:p>
    <w:p w14:paraId="49A93F27" w14:textId="3F7E94E2" w:rsidR="004D18BD" w:rsidRPr="004D18BD" w:rsidRDefault="004D18BD" w:rsidP="004D18BD">
      <w:pPr>
        <w:pStyle w:val="ListParagraph"/>
        <w:numPr>
          <w:ilvl w:val="0"/>
          <w:numId w:val="11"/>
        </w:numPr>
        <w:jc w:val="both"/>
        <w:rPr>
          <w:sz w:val="22"/>
          <w:szCs w:val="22"/>
        </w:rPr>
      </w:pPr>
      <w:r w:rsidRPr="004D18BD">
        <w:rPr>
          <w:sz w:val="22"/>
          <w:szCs w:val="22"/>
        </w:rPr>
        <w:t xml:space="preserve">We </w:t>
      </w:r>
      <w:r w:rsidR="00255FF0">
        <w:rPr>
          <w:sz w:val="22"/>
          <w:szCs w:val="22"/>
        </w:rPr>
        <w:t xml:space="preserve">believe </w:t>
      </w:r>
      <w:r w:rsidRPr="004D18BD">
        <w:rPr>
          <w:sz w:val="22"/>
          <w:szCs w:val="22"/>
        </w:rPr>
        <w:t xml:space="preserve">some </w:t>
      </w:r>
      <w:r w:rsidR="00A6493B">
        <w:rPr>
          <w:sz w:val="22"/>
          <w:szCs w:val="22"/>
        </w:rPr>
        <w:t>b</w:t>
      </w:r>
      <w:r w:rsidRPr="004D18BD">
        <w:rPr>
          <w:sz w:val="22"/>
          <w:szCs w:val="22"/>
        </w:rPr>
        <w:t xml:space="preserve">asis for </w:t>
      </w:r>
      <w:r w:rsidR="00A6493B">
        <w:rPr>
          <w:sz w:val="22"/>
          <w:szCs w:val="22"/>
        </w:rPr>
        <w:t>the c</w:t>
      </w:r>
      <w:r w:rsidRPr="004D18BD">
        <w:rPr>
          <w:sz w:val="22"/>
          <w:szCs w:val="22"/>
        </w:rPr>
        <w:t xml:space="preserve">onclusions </w:t>
      </w:r>
      <w:r w:rsidR="00A6493B">
        <w:rPr>
          <w:sz w:val="22"/>
          <w:szCs w:val="22"/>
        </w:rPr>
        <w:t xml:space="preserve">in </w:t>
      </w:r>
      <w:r w:rsidRPr="004D18BD">
        <w:rPr>
          <w:sz w:val="22"/>
          <w:szCs w:val="22"/>
        </w:rPr>
        <w:t>paragraphs PR32-PR49</w:t>
      </w:r>
      <w:r w:rsidR="00255FF0">
        <w:rPr>
          <w:sz w:val="22"/>
          <w:szCs w:val="22"/>
        </w:rPr>
        <w:t xml:space="preserve"> should be included</w:t>
      </w:r>
      <w:r w:rsidRPr="004D18BD">
        <w:rPr>
          <w:sz w:val="22"/>
          <w:szCs w:val="22"/>
        </w:rPr>
        <w:t xml:space="preserve">, despite the fact that the </w:t>
      </w:r>
      <w:r w:rsidR="00255FF0">
        <w:rPr>
          <w:sz w:val="22"/>
          <w:szCs w:val="22"/>
        </w:rPr>
        <w:t xml:space="preserve">underlying literature pulled from </w:t>
      </w:r>
      <w:r w:rsidRPr="004D18BD">
        <w:rPr>
          <w:sz w:val="22"/>
          <w:szCs w:val="22"/>
        </w:rPr>
        <w:t xml:space="preserve">Concepts Statement No. 5 had no basis for conclusions related to these </w:t>
      </w:r>
      <w:r w:rsidR="00157719">
        <w:rPr>
          <w:sz w:val="22"/>
          <w:szCs w:val="22"/>
        </w:rPr>
        <w:t>paragraphs</w:t>
      </w:r>
      <w:r w:rsidR="0041209A">
        <w:rPr>
          <w:sz w:val="22"/>
          <w:szCs w:val="22"/>
        </w:rPr>
        <w:t xml:space="preserve"> (as noted in paragraph BC7.3)</w:t>
      </w:r>
      <w:r w:rsidRPr="004D18BD">
        <w:rPr>
          <w:sz w:val="22"/>
          <w:szCs w:val="22"/>
        </w:rPr>
        <w:t>.</w:t>
      </w:r>
    </w:p>
    <w:p w14:paraId="75282A36" w14:textId="77777777" w:rsidR="004D18BD" w:rsidRDefault="004D18BD" w:rsidP="00A67DAE">
      <w:pPr>
        <w:spacing w:after="0" w:line="240" w:lineRule="auto"/>
        <w:jc w:val="both"/>
        <w:rPr>
          <w:rFonts w:ascii="Times New Roman" w:hAnsi="Times New Roman"/>
        </w:rPr>
      </w:pPr>
    </w:p>
    <w:p w14:paraId="26F19513" w14:textId="5CB6A4D2" w:rsidR="00F31E80" w:rsidRDefault="00F31E80" w:rsidP="00A67DAE">
      <w:pPr>
        <w:spacing w:after="0" w:line="240" w:lineRule="auto"/>
        <w:jc w:val="both"/>
        <w:rPr>
          <w:rFonts w:ascii="Times New Roman" w:hAnsi="Times New Roman"/>
        </w:rPr>
      </w:pPr>
      <w:r>
        <w:rPr>
          <w:rFonts w:ascii="Times New Roman" w:hAnsi="Times New Roman"/>
        </w:rPr>
        <w:lastRenderedPageBreak/>
        <w:t xml:space="preserve">We </w:t>
      </w:r>
      <w:r w:rsidR="004D18BD">
        <w:rPr>
          <w:rFonts w:ascii="Times New Roman" w:hAnsi="Times New Roman"/>
        </w:rPr>
        <w:t>believe this is a</w:t>
      </w:r>
      <w:r w:rsidR="00157719">
        <w:rPr>
          <w:rFonts w:ascii="Times New Roman" w:hAnsi="Times New Roman"/>
        </w:rPr>
        <w:t>n important</w:t>
      </w:r>
      <w:r w:rsidR="004D18BD">
        <w:rPr>
          <w:rFonts w:ascii="Times New Roman" w:hAnsi="Times New Roman"/>
        </w:rPr>
        <w:t xml:space="preserve"> project </w:t>
      </w:r>
      <w:r w:rsidR="00104045">
        <w:rPr>
          <w:rFonts w:ascii="Times New Roman" w:hAnsi="Times New Roman"/>
        </w:rPr>
        <w:t>but suggest that the chapter be extensively revised and re-exposed prior to issuance</w:t>
      </w:r>
      <w:r>
        <w:rPr>
          <w:rFonts w:ascii="Times New Roman" w:hAnsi="Times New Roman"/>
        </w:rPr>
        <w:t>.</w:t>
      </w:r>
    </w:p>
    <w:p w14:paraId="1CF0CD60" w14:textId="77777777" w:rsidR="00F31E80" w:rsidRDefault="00F31E80" w:rsidP="00A67DAE">
      <w:pPr>
        <w:spacing w:after="0" w:line="240" w:lineRule="auto"/>
        <w:jc w:val="both"/>
        <w:rPr>
          <w:rFonts w:ascii="Times New Roman" w:hAnsi="Times New Roman"/>
        </w:rPr>
      </w:pPr>
    </w:p>
    <w:p w14:paraId="7DDABD4F" w14:textId="77777777" w:rsidR="00A67DAE" w:rsidRPr="00682518" w:rsidRDefault="00A67DAE" w:rsidP="00A67DAE">
      <w:pPr>
        <w:spacing w:after="0" w:line="240" w:lineRule="auto"/>
        <w:jc w:val="both"/>
        <w:rPr>
          <w:rFonts w:ascii="Times New Roman" w:hAnsi="Times New Roman"/>
        </w:rPr>
      </w:pPr>
    </w:p>
    <w:p w14:paraId="2FED0AAC" w14:textId="0D8530AE" w:rsidR="00D44D90" w:rsidRPr="008C45C6" w:rsidRDefault="008806F3" w:rsidP="00041775">
      <w:pPr>
        <w:spacing w:line="240" w:lineRule="auto"/>
        <w:jc w:val="both"/>
        <w:rPr>
          <w:rFonts w:ascii="Times New Roman" w:hAnsi="Times New Roman"/>
        </w:rPr>
      </w:pPr>
      <w:r>
        <w:rPr>
          <w:rFonts w:ascii="Times New Roman" w:hAnsi="Times New Roman"/>
        </w:rPr>
        <w:t xml:space="preserve">Following are </w:t>
      </w:r>
      <w:r w:rsidR="00685277">
        <w:rPr>
          <w:rFonts w:ascii="Times New Roman" w:hAnsi="Times New Roman"/>
        </w:rPr>
        <w:t>o</w:t>
      </w:r>
      <w:r w:rsidR="000D728D" w:rsidRPr="008C45C6">
        <w:rPr>
          <w:rFonts w:ascii="Times New Roman" w:hAnsi="Times New Roman"/>
        </w:rPr>
        <w:t xml:space="preserve">ur responses to the proposal’s </w:t>
      </w:r>
      <w:r w:rsidR="00685277">
        <w:rPr>
          <w:rFonts w:ascii="Times New Roman" w:hAnsi="Times New Roman"/>
        </w:rPr>
        <w:t>Questions for Respondents</w:t>
      </w:r>
      <w:r w:rsidR="000D728D" w:rsidRPr="008C45C6">
        <w:rPr>
          <w:rFonts w:ascii="Times New Roman" w:hAnsi="Times New Roman"/>
        </w:rPr>
        <w:t>.</w:t>
      </w:r>
      <w:r w:rsidR="00D44D90" w:rsidRPr="008C45C6">
        <w:rPr>
          <w:rFonts w:ascii="Times New Roman" w:hAnsi="Times New Roman"/>
        </w:rPr>
        <w:t xml:space="preserve">  </w:t>
      </w:r>
    </w:p>
    <w:p w14:paraId="47808871" w14:textId="3A810AA5" w:rsidR="00D44D90" w:rsidRPr="00D44D90" w:rsidRDefault="008B55DE" w:rsidP="00D44D90">
      <w:pPr>
        <w:pStyle w:val="ListParagraph"/>
        <w:numPr>
          <w:ilvl w:val="0"/>
          <w:numId w:val="3"/>
        </w:numPr>
        <w:jc w:val="both"/>
        <w:rPr>
          <w:i/>
          <w:sz w:val="22"/>
          <w:szCs w:val="22"/>
        </w:rPr>
      </w:pPr>
      <w:r>
        <w:rPr>
          <w:i/>
          <w:sz w:val="22"/>
          <w:szCs w:val="22"/>
        </w:rPr>
        <w:t>Would the</w:t>
      </w:r>
      <w:r w:rsidR="00951E37">
        <w:rPr>
          <w:i/>
          <w:sz w:val="22"/>
          <w:szCs w:val="22"/>
        </w:rPr>
        <w:t xml:space="preserve"> concepts for developing line items in this proposed chapter encompass the information appropriate for the Board to consider for developing financial statements that would assist resource providers</w:t>
      </w:r>
      <w:r w:rsidR="008806F3">
        <w:rPr>
          <w:i/>
          <w:sz w:val="22"/>
          <w:szCs w:val="22"/>
        </w:rPr>
        <w:t xml:space="preserve"> </w:t>
      </w:r>
      <w:r w:rsidR="00951E37">
        <w:rPr>
          <w:i/>
          <w:sz w:val="22"/>
          <w:szCs w:val="22"/>
        </w:rPr>
        <w:t>in their decision making? Are the</w:t>
      </w:r>
      <w:r w:rsidR="003E4725">
        <w:rPr>
          <w:i/>
          <w:sz w:val="22"/>
          <w:szCs w:val="22"/>
        </w:rPr>
        <w:t>re</w:t>
      </w:r>
      <w:r w:rsidR="00951E37">
        <w:rPr>
          <w:i/>
          <w:sz w:val="22"/>
          <w:szCs w:val="22"/>
        </w:rPr>
        <w:t xml:space="preserve"> concepts that should be added or removed?</w:t>
      </w:r>
    </w:p>
    <w:p w14:paraId="28FF32C4" w14:textId="77777777" w:rsidR="00D44D90" w:rsidRDefault="00D44D90" w:rsidP="00E845C2">
      <w:pPr>
        <w:pStyle w:val="ListParagraph"/>
        <w:rPr>
          <w:sz w:val="22"/>
          <w:szCs w:val="22"/>
        </w:rPr>
      </w:pPr>
    </w:p>
    <w:p w14:paraId="09D262D6" w14:textId="14AB9BAF" w:rsidR="0040300A" w:rsidRPr="00E8400D" w:rsidRDefault="0040300A" w:rsidP="0040300A">
      <w:pPr>
        <w:pStyle w:val="ListParagraph"/>
        <w:jc w:val="both"/>
        <w:rPr>
          <w:sz w:val="22"/>
          <w:szCs w:val="22"/>
        </w:rPr>
      </w:pPr>
      <w:r w:rsidRPr="00E8400D">
        <w:rPr>
          <w:sz w:val="22"/>
          <w:szCs w:val="22"/>
        </w:rPr>
        <w:t xml:space="preserve">While we </w:t>
      </w:r>
      <w:r w:rsidR="00A67DAE" w:rsidRPr="00E8400D">
        <w:rPr>
          <w:sz w:val="22"/>
          <w:szCs w:val="22"/>
        </w:rPr>
        <w:t xml:space="preserve">generally agree that </w:t>
      </w:r>
      <w:r w:rsidRPr="00E8400D">
        <w:rPr>
          <w:sz w:val="22"/>
          <w:szCs w:val="22"/>
        </w:rPr>
        <w:t>some of the c</w:t>
      </w:r>
      <w:r w:rsidR="00A67DAE" w:rsidRPr="00E8400D">
        <w:rPr>
          <w:sz w:val="22"/>
          <w:szCs w:val="22"/>
        </w:rPr>
        <w:t xml:space="preserve">oncepts outlined in this </w:t>
      </w:r>
      <w:r w:rsidR="00255FF0">
        <w:rPr>
          <w:sz w:val="22"/>
          <w:szCs w:val="22"/>
        </w:rPr>
        <w:t>Chapter</w:t>
      </w:r>
      <w:r w:rsidR="00A67DAE" w:rsidRPr="00E8400D">
        <w:rPr>
          <w:sz w:val="22"/>
          <w:szCs w:val="22"/>
        </w:rPr>
        <w:t xml:space="preserve"> would be helpful for developing financial statements that would assist resources providers in their decision making</w:t>
      </w:r>
      <w:r w:rsidRPr="00E8400D">
        <w:rPr>
          <w:sz w:val="22"/>
          <w:szCs w:val="22"/>
        </w:rPr>
        <w:t xml:space="preserve">, we believe the concepts need to be further developed.  </w:t>
      </w:r>
    </w:p>
    <w:p w14:paraId="4636B7FB" w14:textId="77777777" w:rsidR="0040300A" w:rsidRPr="00E8400D" w:rsidRDefault="0040300A" w:rsidP="0040300A">
      <w:pPr>
        <w:pStyle w:val="ListParagraph"/>
        <w:jc w:val="both"/>
        <w:rPr>
          <w:sz w:val="22"/>
          <w:szCs w:val="22"/>
        </w:rPr>
      </w:pPr>
    </w:p>
    <w:p w14:paraId="015EB6DC" w14:textId="3165FC52" w:rsidR="0040300A" w:rsidRPr="00E8400D" w:rsidRDefault="0040300A" w:rsidP="0040300A">
      <w:pPr>
        <w:pStyle w:val="ListParagraph"/>
        <w:jc w:val="both"/>
        <w:rPr>
          <w:sz w:val="22"/>
          <w:szCs w:val="22"/>
        </w:rPr>
      </w:pPr>
      <w:r w:rsidRPr="00E8400D">
        <w:rPr>
          <w:sz w:val="22"/>
          <w:szCs w:val="22"/>
        </w:rPr>
        <w:t xml:space="preserve">For instance, when elaborating on the concept of frequency in paragraphs PR44-45, the </w:t>
      </w:r>
      <w:r w:rsidR="00255FF0">
        <w:rPr>
          <w:sz w:val="22"/>
          <w:szCs w:val="22"/>
        </w:rPr>
        <w:t>C</w:t>
      </w:r>
      <w:r w:rsidRPr="00E8400D">
        <w:rPr>
          <w:sz w:val="22"/>
          <w:szCs w:val="22"/>
        </w:rPr>
        <w:t xml:space="preserve">hapter seems to </w:t>
      </w:r>
      <w:r w:rsidR="00801B9C">
        <w:rPr>
          <w:sz w:val="22"/>
          <w:szCs w:val="22"/>
        </w:rPr>
        <w:t xml:space="preserve">infer </w:t>
      </w:r>
      <w:r w:rsidRPr="00E8400D">
        <w:rPr>
          <w:sz w:val="22"/>
          <w:szCs w:val="22"/>
        </w:rPr>
        <w:t xml:space="preserve">that persistence of earnings is a key consideration of resource providers. We believe that the concept of relevance includes confirmation, not just </w:t>
      </w:r>
      <w:r w:rsidR="00104045">
        <w:rPr>
          <w:sz w:val="22"/>
          <w:szCs w:val="22"/>
        </w:rPr>
        <w:t>predictive ability</w:t>
      </w:r>
      <w:r w:rsidRPr="00E8400D">
        <w:rPr>
          <w:sz w:val="22"/>
          <w:szCs w:val="22"/>
        </w:rPr>
        <w:t>.</w:t>
      </w:r>
      <w:r w:rsidR="000E519D" w:rsidRPr="00E8400D">
        <w:rPr>
          <w:sz w:val="22"/>
          <w:szCs w:val="22"/>
        </w:rPr>
        <w:t xml:space="preserve"> </w:t>
      </w:r>
      <w:r w:rsidR="009B12ED">
        <w:rPr>
          <w:sz w:val="22"/>
          <w:szCs w:val="22"/>
        </w:rPr>
        <w:t xml:space="preserve">We understand </w:t>
      </w:r>
      <w:r w:rsidR="000E519D" w:rsidRPr="00E8400D">
        <w:rPr>
          <w:sz w:val="22"/>
          <w:szCs w:val="22"/>
        </w:rPr>
        <w:t xml:space="preserve">that </w:t>
      </w:r>
      <w:r w:rsidRPr="00E8400D">
        <w:rPr>
          <w:sz w:val="22"/>
          <w:szCs w:val="22"/>
        </w:rPr>
        <w:t xml:space="preserve">resource providers desire </w:t>
      </w:r>
      <w:r w:rsidR="000E519D" w:rsidRPr="00E8400D">
        <w:rPr>
          <w:sz w:val="22"/>
          <w:szCs w:val="22"/>
        </w:rPr>
        <w:t xml:space="preserve">more information that will </w:t>
      </w:r>
      <w:r w:rsidR="00255FF0">
        <w:rPr>
          <w:sz w:val="22"/>
          <w:szCs w:val="22"/>
        </w:rPr>
        <w:t>assist them in making</w:t>
      </w:r>
      <w:r w:rsidR="000E519D" w:rsidRPr="00E8400D">
        <w:rPr>
          <w:sz w:val="22"/>
          <w:szCs w:val="22"/>
        </w:rPr>
        <w:t xml:space="preserve"> better predictions</w:t>
      </w:r>
      <w:r w:rsidRPr="00E8400D">
        <w:rPr>
          <w:sz w:val="22"/>
          <w:szCs w:val="22"/>
        </w:rPr>
        <w:t xml:space="preserve">, </w:t>
      </w:r>
      <w:r w:rsidR="000E519D" w:rsidRPr="00E8400D">
        <w:rPr>
          <w:sz w:val="22"/>
          <w:szCs w:val="22"/>
        </w:rPr>
        <w:t>as indicated by the prevalence of EBITDA and other non-GAAP measures</w:t>
      </w:r>
      <w:r w:rsidR="009B12ED">
        <w:rPr>
          <w:sz w:val="22"/>
          <w:szCs w:val="22"/>
        </w:rPr>
        <w:t xml:space="preserve">; however, </w:t>
      </w:r>
      <w:r w:rsidR="00255FF0">
        <w:rPr>
          <w:sz w:val="22"/>
          <w:szCs w:val="22"/>
        </w:rPr>
        <w:t>we</w:t>
      </w:r>
      <w:r w:rsidRPr="00E8400D">
        <w:rPr>
          <w:sz w:val="22"/>
          <w:szCs w:val="22"/>
        </w:rPr>
        <w:t xml:space="preserve"> would prefer that</w:t>
      </w:r>
      <w:r w:rsidR="0080507E">
        <w:rPr>
          <w:sz w:val="22"/>
          <w:szCs w:val="22"/>
        </w:rPr>
        <w:t xml:space="preserve"> presentation decisions based on</w:t>
      </w:r>
      <w:r w:rsidRPr="00E8400D">
        <w:rPr>
          <w:sz w:val="22"/>
          <w:szCs w:val="22"/>
        </w:rPr>
        <w:t xml:space="preserve"> </w:t>
      </w:r>
      <w:r w:rsidR="000E519D" w:rsidRPr="00E8400D">
        <w:rPr>
          <w:sz w:val="22"/>
          <w:szCs w:val="22"/>
        </w:rPr>
        <w:t>frequency</w:t>
      </w:r>
      <w:r w:rsidR="0080507E">
        <w:rPr>
          <w:sz w:val="22"/>
          <w:szCs w:val="22"/>
        </w:rPr>
        <w:t xml:space="preserve"> be addressed by the Board providing</w:t>
      </w:r>
      <w:r w:rsidR="00104045">
        <w:rPr>
          <w:sz w:val="22"/>
          <w:szCs w:val="22"/>
        </w:rPr>
        <w:t xml:space="preserve"> more guidance around the concepts of </w:t>
      </w:r>
      <w:r w:rsidRPr="00E8400D">
        <w:rPr>
          <w:sz w:val="22"/>
          <w:szCs w:val="22"/>
        </w:rPr>
        <w:t xml:space="preserve">operating income and operating cash flows and </w:t>
      </w:r>
      <w:r w:rsidR="00596055">
        <w:rPr>
          <w:sz w:val="22"/>
          <w:szCs w:val="22"/>
        </w:rPr>
        <w:t>clearly articulating</w:t>
      </w:r>
      <w:r w:rsidRPr="00E8400D">
        <w:rPr>
          <w:sz w:val="22"/>
          <w:szCs w:val="22"/>
        </w:rPr>
        <w:t xml:space="preserve"> why th</w:t>
      </w:r>
      <w:r w:rsidR="000E519D" w:rsidRPr="00E8400D">
        <w:rPr>
          <w:sz w:val="22"/>
          <w:szCs w:val="22"/>
        </w:rPr>
        <w:t>ey are</w:t>
      </w:r>
      <w:r w:rsidRPr="00E8400D">
        <w:rPr>
          <w:sz w:val="22"/>
          <w:szCs w:val="22"/>
        </w:rPr>
        <w:t xml:space="preserve"> important and the basis for their reasoning. </w:t>
      </w:r>
      <w:r w:rsidR="000E519D" w:rsidRPr="00E8400D">
        <w:rPr>
          <w:sz w:val="22"/>
          <w:szCs w:val="22"/>
        </w:rPr>
        <w:t xml:space="preserve">As it stands, while </w:t>
      </w:r>
      <w:r w:rsidR="00255FF0">
        <w:rPr>
          <w:sz w:val="22"/>
          <w:szCs w:val="22"/>
        </w:rPr>
        <w:t>both measures</w:t>
      </w:r>
      <w:r w:rsidR="000E519D" w:rsidRPr="00E8400D">
        <w:rPr>
          <w:sz w:val="22"/>
          <w:szCs w:val="22"/>
        </w:rPr>
        <w:t xml:space="preserve"> </w:t>
      </w:r>
      <w:r w:rsidR="00255FF0">
        <w:rPr>
          <w:sz w:val="22"/>
          <w:szCs w:val="22"/>
        </w:rPr>
        <w:t xml:space="preserve">of performance </w:t>
      </w:r>
      <w:r w:rsidR="000E519D" w:rsidRPr="00E8400D">
        <w:rPr>
          <w:sz w:val="22"/>
          <w:szCs w:val="22"/>
        </w:rPr>
        <w:t xml:space="preserve">are widely used by resource providers, operating income remains undefined in the literature and operating cash flows are only defined as a residual. </w:t>
      </w:r>
      <w:r w:rsidR="009B12ED">
        <w:rPr>
          <w:sz w:val="22"/>
          <w:szCs w:val="22"/>
        </w:rPr>
        <w:t xml:space="preserve">We also note that in the absence of </w:t>
      </w:r>
      <w:r w:rsidR="00104045">
        <w:rPr>
          <w:sz w:val="22"/>
          <w:szCs w:val="22"/>
        </w:rPr>
        <w:t>explicit guidance</w:t>
      </w:r>
      <w:r w:rsidR="009B12ED">
        <w:rPr>
          <w:sz w:val="22"/>
          <w:szCs w:val="22"/>
        </w:rPr>
        <w:t xml:space="preserve">, </w:t>
      </w:r>
      <w:r w:rsidR="000E519D" w:rsidRPr="00E8400D">
        <w:rPr>
          <w:sz w:val="22"/>
          <w:szCs w:val="22"/>
        </w:rPr>
        <w:t xml:space="preserve">the concept of operating income versus </w:t>
      </w:r>
      <w:proofErr w:type="spellStart"/>
      <w:r w:rsidR="000E519D" w:rsidRPr="00E8400D">
        <w:rPr>
          <w:sz w:val="22"/>
          <w:szCs w:val="22"/>
        </w:rPr>
        <w:t>nonoperating</w:t>
      </w:r>
      <w:proofErr w:type="spellEnd"/>
      <w:r w:rsidR="000E519D" w:rsidRPr="00E8400D">
        <w:rPr>
          <w:sz w:val="22"/>
          <w:szCs w:val="22"/>
        </w:rPr>
        <w:t xml:space="preserve"> income is largely supported for public </w:t>
      </w:r>
      <w:r w:rsidR="009B12ED">
        <w:rPr>
          <w:sz w:val="22"/>
          <w:szCs w:val="22"/>
        </w:rPr>
        <w:t>business entities</w:t>
      </w:r>
      <w:r w:rsidR="000E519D" w:rsidRPr="00E8400D">
        <w:rPr>
          <w:sz w:val="22"/>
          <w:szCs w:val="22"/>
        </w:rPr>
        <w:t xml:space="preserve"> by scattered guidance </w:t>
      </w:r>
      <w:r w:rsidR="009B12ED">
        <w:rPr>
          <w:sz w:val="22"/>
          <w:szCs w:val="22"/>
        </w:rPr>
        <w:t xml:space="preserve">of </w:t>
      </w:r>
      <w:r w:rsidR="000E519D" w:rsidRPr="00E8400D">
        <w:rPr>
          <w:sz w:val="22"/>
          <w:szCs w:val="22"/>
        </w:rPr>
        <w:t>the Securities and Exchange Commission</w:t>
      </w:r>
      <w:r w:rsidR="009B12ED">
        <w:rPr>
          <w:sz w:val="22"/>
          <w:szCs w:val="22"/>
        </w:rPr>
        <w:t>, such as its requirement to report gains and losses on the sale of depreciable property within operating income</w:t>
      </w:r>
      <w:r w:rsidR="003E4725">
        <w:rPr>
          <w:sz w:val="22"/>
          <w:szCs w:val="22"/>
        </w:rPr>
        <w:t xml:space="preserve"> (</w:t>
      </w:r>
      <w:r w:rsidR="00DD76AB">
        <w:rPr>
          <w:sz w:val="22"/>
          <w:szCs w:val="22"/>
        </w:rPr>
        <w:t xml:space="preserve">i.e. </w:t>
      </w:r>
      <w:r w:rsidR="003E4725">
        <w:rPr>
          <w:sz w:val="22"/>
          <w:szCs w:val="22"/>
        </w:rPr>
        <w:t>SAB Topic 13B, footnote 68</w:t>
      </w:r>
      <w:r w:rsidR="00427C4D">
        <w:rPr>
          <w:sz w:val="22"/>
          <w:szCs w:val="22"/>
        </w:rPr>
        <w:t>)</w:t>
      </w:r>
      <w:r w:rsidR="00DD76AB">
        <w:rPr>
          <w:sz w:val="22"/>
          <w:szCs w:val="22"/>
        </w:rPr>
        <w:t>.</w:t>
      </w:r>
      <w:r w:rsidR="00427C4D">
        <w:rPr>
          <w:sz w:val="22"/>
          <w:szCs w:val="22"/>
        </w:rPr>
        <w:t xml:space="preserve"> </w:t>
      </w:r>
    </w:p>
    <w:p w14:paraId="7DC7B90F" w14:textId="77777777" w:rsidR="000E519D" w:rsidRPr="0040300A" w:rsidRDefault="000E519D" w:rsidP="0040300A">
      <w:pPr>
        <w:pStyle w:val="ListParagraph"/>
        <w:jc w:val="both"/>
        <w:rPr>
          <w:sz w:val="22"/>
          <w:szCs w:val="22"/>
          <w:highlight w:val="yellow"/>
        </w:rPr>
      </w:pPr>
    </w:p>
    <w:p w14:paraId="012CD0BC" w14:textId="5AA7C34E" w:rsidR="00830760" w:rsidRPr="00830760" w:rsidRDefault="00951E37" w:rsidP="00830760">
      <w:pPr>
        <w:pStyle w:val="ListParagraph"/>
        <w:numPr>
          <w:ilvl w:val="0"/>
          <w:numId w:val="3"/>
        </w:numPr>
        <w:jc w:val="both"/>
      </w:pPr>
      <w:r>
        <w:rPr>
          <w:i/>
          <w:sz w:val="22"/>
          <w:szCs w:val="22"/>
        </w:rPr>
        <w:t>The conceptual framework does not address whether specific characteristics of a single contract shoul</w:t>
      </w:r>
      <w:r w:rsidR="00830760">
        <w:rPr>
          <w:i/>
          <w:sz w:val="22"/>
          <w:szCs w:val="22"/>
        </w:rPr>
        <w:t>d</w:t>
      </w:r>
      <w:r>
        <w:rPr>
          <w:i/>
          <w:sz w:val="22"/>
          <w:szCs w:val="22"/>
        </w:rPr>
        <w:t xml:space="preserve"> be recognized, measured, and presented separately </w:t>
      </w:r>
      <w:r w:rsidR="00830760">
        <w:rPr>
          <w:i/>
          <w:sz w:val="22"/>
          <w:szCs w:val="22"/>
        </w:rPr>
        <w:t>or grouped with other contracts. Similarly, the conceptual framework does not address whether specific characteristics of multiple contracts should be recognized, measured, and presented separately or combined with other contracts. Some Board members believe that the factors developed in paragraph PR37 could be potentially helpful in addressing these issues when considering changes to the definitions of the elements or recognition criteria. Could the Board use any of the factors in paragraph PR37 of this Exposure Draft to help make decisions about combining contracts or separating specific aspects of a single contract when recognizing, measuring and presenting items?</w:t>
      </w:r>
    </w:p>
    <w:p w14:paraId="0E4C3938" w14:textId="6C04CD73" w:rsidR="0041745C" w:rsidRDefault="0041745C" w:rsidP="00830760">
      <w:pPr>
        <w:pStyle w:val="ListParagraph"/>
        <w:jc w:val="both"/>
      </w:pPr>
    </w:p>
    <w:p w14:paraId="09F0D6A6" w14:textId="77777777" w:rsidR="007F251A" w:rsidRDefault="00DA58AC" w:rsidP="00DA58AC">
      <w:pPr>
        <w:pStyle w:val="ListParagraph"/>
        <w:jc w:val="both"/>
        <w:rPr>
          <w:sz w:val="22"/>
          <w:szCs w:val="22"/>
        </w:rPr>
      </w:pPr>
      <w:r w:rsidRPr="004D1045">
        <w:rPr>
          <w:sz w:val="22"/>
          <w:szCs w:val="22"/>
        </w:rPr>
        <w:t>Genera</w:t>
      </w:r>
      <w:r>
        <w:rPr>
          <w:sz w:val="22"/>
          <w:szCs w:val="22"/>
        </w:rPr>
        <w:t xml:space="preserve">lly speaking, yes, the factors in paragraph PR37 may be helpful </w:t>
      </w:r>
      <w:r w:rsidRPr="00DA58AC">
        <w:rPr>
          <w:i/>
          <w:sz w:val="22"/>
          <w:szCs w:val="22"/>
        </w:rPr>
        <w:t>as a starting point</w:t>
      </w:r>
      <w:r>
        <w:rPr>
          <w:sz w:val="22"/>
          <w:szCs w:val="22"/>
        </w:rPr>
        <w:t xml:space="preserve"> when the Board next considers changes to the definitions of elements or recognition criteria.  However, we suggest caution.</w:t>
      </w:r>
    </w:p>
    <w:p w14:paraId="538242C4" w14:textId="77777777" w:rsidR="007F251A" w:rsidRDefault="007F251A" w:rsidP="00DA58AC">
      <w:pPr>
        <w:pStyle w:val="ListParagraph"/>
        <w:jc w:val="both"/>
        <w:rPr>
          <w:sz w:val="22"/>
          <w:szCs w:val="22"/>
        </w:rPr>
      </w:pPr>
    </w:p>
    <w:p w14:paraId="3E819407" w14:textId="70FC6ECF" w:rsidR="004D1045" w:rsidRPr="00DA58AC" w:rsidRDefault="004D1045" w:rsidP="00DA58AC">
      <w:pPr>
        <w:pStyle w:val="ListParagraph"/>
        <w:jc w:val="both"/>
        <w:rPr>
          <w:sz w:val="22"/>
          <w:szCs w:val="22"/>
        </w:rPr>
      </w:pPr>
      <w:r>
        <w:rPr>
          <w:sz w:val="22"/>
          <w:szCs w:val="22"/>
        </w:rPr>
        <w:t xml:space="preserve">Some of the factors </w:t>
      </w:r>
      <w:r w:rsidR="00DA58AC">
        <w:rPr>
          <w:sz w:val="22"/>
          <w:szCs w:val="22"/>
        </w:rPr>
        <w:t xml:space="preserve">in paragraph PR37 </w:t>
      </w:r>
      <w:r>
        <w:rPr>
          <w:sz w:val="22"/>
          <w:szCs w:val="22"/>
        </w:rPr>
        <w:t xml:space="preserve">may </w:t>
      </w:r>
      <w:r w:rsidR="00DA58AC">
        <w:rPr>
          <w:sz w:val="22"/>
          <w:szCs w:val="22"/>
        </w:rPr>
        <w:t xml:space="preserve">be useful when considering the recognition and measurement of </w:t>
      </w:r>
      <w:r>
        <w:rPr>
          <w:sz w:val="22"/>
          <w:szCs w:val="22"/>
        </w:rPr>
        <w:t xml:space="preserve">certain financial instruments, </w:t>
      </w:r>
      <w:r w:rsidR="00DA58AC">
        <w:rPr>
          <w:sz w:val="22"/>
          <w:szCs w:val="22"/>
        </w:rPr>
        <w:t xml:space="preserve">as it </w:t>
      </w:r>
      <w:r w:rsidR="007F251A">
        <w:rPr>
          <w:sz w:val="22"/>
          <w:szCs w:val="22"/>
        </w:rPr>
        <w:t xml:space="preserve">has been </w:t>
      </w:r>
      <w:r w:rsidR="00DA58AC">
        <w:rPr>
          <w:sz w:val="22"/>
          <w:szCs w:val="22"/>
        </w:rPr>
        <w:t>with derivatives embedded within non-derivative host contracts.  However, we question whether the</w:t>
      </w:r>
      <w:r w:rsidR="007F251A">
        <w:rPr>
          <w:sz w:val="22"/>
          <w:szCs w:val="22"/>
        </w:rPr>
        <w:t>se factors</w:t>
      </w:r>
      <w:r w:rsidR="00DA58AC">
        <w:rPr>
          <w:sz w:val="22"/>
          <w:szCs w:val="22"/>
        </w:rPr>
        <w:t xml:space="preserve"> would be operational when considering </w:t>
      </w:r>
      <w:r w:rsidRPr="00DA58AC">
        <w:rPr>
          <w:sz w:val="22"/>
          <w:szCs w:val="22"/>
        </w:rPr>
        <w:t xml:space="preserve">other </w:t>
      </w:r>
      <w:r w:rsidR="007F251A">
        <w:rPr>
          <w:sz w:val="22"/>
          <w:szCs w:val="22"/>
        </w:rPr>
        <w:t xml:space="preserve">types of </w:t>
      </w:r>
      <w:r w:rsidRPr="00DA58AC">
        <w:rPr>
          <w:sz w:val="22"/>
          <w:szCs w:val="22"/>
        </w:rPr>
        <w:t>contracts, such as financial instruments used in trading activities</w:t>
      </w:r>
      <w:r w:rsidR="00DA58AC">
        <w:rPr>
          <w:sz w:val="22"/>
          <w:szCs w:val="22"/>
        </w:rPr>
        <w:t xml:space="preserve"> </w:t>
      </w:r>
      <w:r w:rsidRPr="00DA58AC">
        <w:rPr>
          <w:sz w:val="22"/>
          <w:szCs w:val="22"/>
        </w:rPr>
        <w:t xml:space="preserve">or </w:t>
      </w:r>
      <w:r w:rsidR="007F251A">
        <w:rPr>
          <w:sz w:val="22"/>
          <w:szCs w:val="22"/>
        </w:rPr>
        <w:t xml:space="preserve">other </w:t>
      </w:r>
      <w:r w:rsidRPr="00DA58AC">
        <w:rPr>
          <w:sz w:val="22"/>
          <w:szCs w:val="22"/>
        </w:rPr>
        <w:t xml:space="preserve">income-producing contracts.  </w:t>
      </w:r>
      <w:r w:rsidR="007F251A">
        <w:rPr>
          <w:sz w:val="22"/>
          <w:szCs w:val="22"/>
        </w:rPr>
        <w:t>In particular, we believe that the concept of frequency, including predictability o</w:t>
      </w:r>
      <w:r w:rsidR="00157719">
        <w:rPr>
          <w:sz w:val="22"/>
          <w:szCs w:val="22"/>
        </w:rPr>
        <w:t>f</w:t>
      </w:r>
      <w:r w:rsidR="007F251A">
        <w:rPr>
          <w:sz w:val="22"/>
          <w:szCs w:val="22"/>
        </w:rPr>
        <w:t xml:space="preserve"> recurrence (paragraphs PR44-45), would be extremely difficult to apply to these other types of contacts.</w:t>
      </w:r>
    </w:p>
    <w:p w14:paraId="0C18B061" w14:textId="77777777" w:rsidR="004D1045" w:rsidRDefault="004D1045" w:rsidP="00830760">
      <w:pPr>
        <w:pStyle w:val="ListParagraph"/>
        <w:jc w:val="both"/>
      </w:pPr>
    </w:p>
    <w:p w14:paraId="4E501622" w14:textId="7079A02E" w:rsidR="00F54627" w:rsidRPr="00F54627" w:rsidRDefault="007F251A" w:rsidP="00830760">
      <w:pPr>
        <w:pStyle w:val="ListParagraph"/>
        <w:jc w:val="both"/>
        <w:rPr>
          <w:sz w:val="22"/>
          <w:szCs w:val="22"/>
        </w:rPr>
      </w:pPr>
      <w:r w:rsidRPr="007F251A">
        <w:rPr>
          <w:sz w:val="22"/>
          <w:szCs w:val="22"/>
        </w:rPr>
        <w:t>Finally,</w:t>
      </w:r>
      <w:r w:rsidR="00F54627" w:rsidRPr="007F251A">
        <w:rPr>
          <w:sz w:val="22"/>
          <w:szCs w:val="22"/>
        </w:rPr>
        <w:t xml:space="preserve"> </w:t>
      </w:r>
      <w:r>
        <w:rPr>
          <w:sz w:val="22"/>
          <w:szCs w:val="22"/>
        </w:rPr>
        <w:t xml:space="preserve">we believe that </w:t>
      </w:r>
      <w:r w:rsidR="00A67DAE" w:rsidRPr="007F251A">
        <w:rPr>
          <w:sz w:val="22"/>
          <w:szCs w:val="22"/>
        </w:rPr>
        <w:t xml:space="preserve">before </w:t>
      </w:r>
      <w:r w:rsidR="009B12ED">
        <w:rPr>
          <w:sz w:val="22"/>
          <w:szCs w:val="22"/>
        </w:rPr>
        <w:t xml:space="preserve">any presentation </w:t>
      </w:r>
      <w:r w:rsidR="00A67DAE" w:rsidRPr="007F251A">
        <w:rPr>
          <w:sz w:val="22"/>
          <w:szCs w:val="22"/>
        </w:rPr>
        <w:t xml:space="preserve">factors </w:t>
      </w:r>
      <w:r w:rsidR="009B12ED">
        <w:rPr>
          <w:sz w:val="22"/>
          <w:szCs w:val="22"/>
        </w:rPr>
        <w:t>are</w:t>
      </w:r>
      <w:r w:rsidR="00A67DAE" w:rsidRPr="007F251A">
        <w:rPr>
          <w:sz w:val="22"/>
          <w:szCs w:val="22"/>
        </w:rPr>
        <w:t xml:space="preserve"> applied to require the </w:t>
      </w:r>
      <w:r w:rsidR="00A67DAE" w:rsidRPr="007F251A">
        <w:rPr>
          <w:i/>
          <w:sz w:val="22"/>
          <w:szCs w:val="22"/>
        </w:rPr>
        <w:t xml:space="preserve">disaggregation </w:t>
      </w:r>
      <w:r w:rsidR="00A67DAE" w:rsidRPr="007F251A">
        <w:rPr>
          <w:sz w:val="22"/>
          <w:szCs w:val="22"/>
        </w:rPr>
        <w:t>of specific</w:t>
      </w:r>
      <w:r w:rsidR="00A67DAE" w:rsidRPr="007F251A">
        <w:rPr>
          <w:i/>
          <w:sz w:val="22"/>
          <w:szCs w:val="22"/>
        </w:rPr>
        <w:t xml:space="preserve"> </w:t>
      </w:r>
      <w:r w:rsidR="00A67DAE" w:rsidRPr="007F251A">
        <w:rPr>
          <w:sz w:val="22"/>
          <w:szCs w:val="22"/>
        </w:rPr>
        <w:t xml:space="preserve">characteristics of a </w:t>
      </w:r>
      <w:r w:rsidR="00A67DAE" w:rsidRPr="007F251A">
        <w:rPr>
          <w:i/>
          <w:sz w:val="22"/>
          <w:szCs w:val="22"/>
        </w:rPr>
        <w:t>single</w:t>
      </w:r>
      <w:r w:rsidR="00A67DAE" w:rsidRPr="007F251A">
        <w:rPr>
          <w:sz w:val="22"/>
          <w:szCs w:val="22"/>
        </w:rPr>
        <w:t xml:space="preserve"> contract, </w:t>
      </w:r>
      <w:r w:rsidR="00F54627" w:rsidRPr="007F251A">
        <w:rPr>
          <w:sz w:val="22"/>
          <w:szCs w:val="22"/>
        </w:rPr>
        <w:t>the</w:t>
      </w:r>
      <w:r w:rsidR="004D18BD">
        <w:rPr>
          <w:sz w:val="22"/>
          <w:szCs w:val="22"/>
        </w:rPr>
        <w:t xml:space="preserve">re </w:t>
      </w:r>
      <w:r w:rsidR="009B12ED">
        <w:rPr>
          <w:sz w:val="22"/>
          <w:szCs w:val="22"/>
        </w:rPr>
        <w:t xml:space="preserve">should be </w:t>
      </w:r>
      <w:r w:rsidR="004D18BD">
        <w:rPr>
          <w:sz w:val="22"/>
          <w:szCs w:val="22"/>
        </w:rPr>
        <w:t xml:space="preserve">a significant need for </w:t>
      </w:r>
      <w:r w:rsidR="009B12ED">
        <w:rPr>
          <w:sz w:val="22"/>
          <w:szCs w:val="22"/>
        </w:rPr>
        <w:t>such</w:t>
      </w:r>
      <w:r w:rsidR="004D18BD">
        <w:rPr>
          <w:sz w:val="22"/>
          <w:szCs w:val="22"/>
        </w:rPr>
        <w:t xml:space="preserve"> information by </w:t>
      </w:r>
      <w:r w:rsidR="00F54627" w:rsidRPr="007F251A">
        <w:rPr>
          <w:sz w:val="22"/>
          <w:szCs w:val="22"/>
        </w:rPr>
        <w:t xml:space="preserve">resource providers </w:t>
      </w:r>
      <w:r w:rsidR="009B12ED">
        <w:rPr>
          <w:sz w:val="22"/>
          <w:szCs w:val="22"/>
        </w:rPr>
        <w:t xml:space="preserve">to justify </w:t>
      </w:r>
      <w:r w:rsidR="00A67DAE" w:rsidRPr="007F251A">
        <w:rPr>
          <w:sz w:val="22"/>
          <w:szCs w:val="22"/>
        </w:rPr>
        <w:t xml:space="preserve">the </w:t>
      </w:r>
      <w:r w:rsidR="009B12ED">
        <w:rPr>
          <w:sz w:val="22"/>
          <w:szCs w:val="22"/>
        </w:rPr>
        <w:t xml:space="preserve">presumably significant </w:t>
      </w:r>
      <w:r w:rsidR="00A67DAE" w:rsidRPr="007F251A">
        <w:rPr>
          <w:sz w:val="22"/>
          <w:szCs w:val="22"/>
        </w:rPr>
        <w:t xml:space="preserve">cost </w:t>
      </w:r>
      <w:r w:rsidR="009B12ED">
        <w:rPr>
          <w:sz w:val="22"/>
          <w:szCs w:val="22"/>
        </w:rPr>
        <w:t>of</w:t>
      </w:r>
      <w:r w:rsidR="00A67DAE" w:rsidRPr="007F251A">
        <w:rPr>
          <w:sz w:val="22"/>
          <w:szCs w:val="22"/>
        </w:rPr>
        <w:t xml:space="preserve"> </w:t>
      </w:r>
      <w:r w:rsidR="009B12ED">
        <w:rPr>
          <w:sz w:val="22"/>
          <w:szCs w:val="22"/>
        </w:rPr>
        <w:t>identifying and compiling disaggregated contract data for presentation in the financial statements (or inclusion in the notes)</w:t>
      </w:r>
      <w:r w:rsidR="00A67DAE" w:rsidRPr="007F251A">
        <w:rPr>
          <w:sz w:val="22"/>
          <w:szCs w:val="22"/>
        </w:rPr>
        <w:t>.</w:t>
      </w:r>
    </w:p>
    <w:p w14:paraId="54EB901F" w14:textId="77777777" w:rsidR="00830760" w:rsidRPr="00C75626" w:rsidRDefault="00830760" w:rsidP="00830760">
      <w:pPr>
        <w:pStyle w:val="ListParagraph"/>
        <w:jc w:val="both"/>
      </w:pPr>
    </w:p>
    <w:p w14:paraId="401A7582" w14:textId="77777777" w:rsidR="00C07D21" w:rsidRPr="00F21F08" w:rsidRDefault="00C07D21" w:rsidP="00C07D21">
      <w:pPr>
        <w:jc w:val="both"/>
        <w:rPr>
          <w:rFonts w:ascii="Times New Roman" w:hAnsi="Times New Roman"/>
        </w:rPr>
      </w:pPr>
      <w:r w:rsidRPr="00F21F08">
        <w:rPr>
          <w:rFonts w:ascii="Times New Roman" w:hAnsi="Times New Roman"/>
        </w:rPr>
        <w:t>We appreciate the opportunity to offer our comments.</w:t>
      </w:r>
    </w:p>
    <w:p w14:paraId="521AC13C" w14:textId="77777777" w:rsidR="00C07D21" w:rsidRPr="00F21F08" w:rsidRDefault="00C07D21" w:rsidP="00C07D21">
      <w:pPr>
        <w:jc w:val="both"/>
        <w:rPr>
          <w:rFonts w:ascii="Times New Roman" w:hAnsi="Times New Roman"/>
        </w:rPr>
      </w:pPr>
      <w:r w:rsidRPr="00F21F08">
        <w:rPr>
          <w:rFonts w:ascii="Times New Roman" w:hAnsi="Times New Roman"/>
        </w:rPr>
        <w:lastRenderedPageBreak/>
        <w:t>Sincerely,</w:t>
      </w:r>
    </w:p>
    <w:p w14:paraId="6773FFCC" w14:textId="77777777" w:rsidR="00C07D21" w:rsidRPr="00F21F08" w:rsidRDefault="00C07D21" w:rsidP="00C07D21">
      <w:pPr>
        <w:jc w:val="both"/>
        <w:rPr>
          <w:rFonts w:ascii="Times New Roman" w:hAnsi="Times New Roman"/>
        </w:rPr>
      </w:pPr>
    </w:p>
    <w:p w14:paraId="68292F9D" w14:textId="7E14DF09" w:rsidR="00C07D21" w:rsidRPr="00F21F08" w:rsidRDefault="0062628D" w:rsidP="00C07D21">
      <w:pPr>
        <w:rPr>
          <w:rFonts w:ascii="Times New Roman" w:hAnsi="Times New Roman"/>
        </w:rPr>
      </w:pPr>
      <w:r>
        <w:rPr>
          <w:rFonts w:ascii="Times New Roman" w:hAnsi="Times New Roman"/>
          <w:b/>
          <w:bCs/>
        </w:rPr>
        <w:t>Ryan Brady</w:t>
      </w:r>
      <w:r w:rsidR="00C07D21" w:rsidRPr="00F21F08">
        <w:rPr>
          <w:rFonts w:ascii="Times New Roman" w:hAnsi="Times New Roman"/>
          <w:b/>
          <w:bCs/>
        </w:rPr>
        <w:t>, CPA</w:t>
      </w:r>
      <w:r w:rsidR="00C07D21" w:rsidRPr="00F21F08">
        <w:rPr>
          <w:rFonts w:ascii="Times New Roman" w:hAnsi="Times New Roman"/>
        </w:rPr>
        <w:br/>
        <w:t>Chair, Accounting Principles Committee</w:t>
      </w:r>
    </w:p>
    <w:p w14:paraId="6E3198B2" w14:textId="77777777" w:rsidR="005838C5" w:rsidRDefault="0062628D" w:rsidP="005838C5">
      <w:pPr>
        <w:rPr>
          <w:rFonts w:ascii="Times New Roman" w:hAnsi="Times New Roman"/>
        </w:rPr>
      </w:pPr>
      <w:r>
        <w:rPr>
          <w:rFonts w:ascii="Times New Roman" w:hAnsi="Times New Roman"/>
          <w:b/>
          <w:bCs/>
        </w:rPr>
        <w:t>Brian Kot</w:t>
      </w:r>
      <w:r w:rsidR="00C07D21" w:rsidRPr="00F21F08">
        <w:rPr>
          <w:rFonts w:ascii="Times New Roman" w:hAnsi="Times New Roman"/>
          <w:b/>
          <w:bCs/>
        </w:rPr>
        <w:t>, CPA</w:t>
      </w:r>
      <w:r w:rsidR="00E83DC2">
        <w:rPr>
          <w:rFonts w:ascii="Times New Roman" w:hAnsi="Times New Roman"/>
        </w:rPr>
        <w:br/>
        <w:t>Vice C</w:t>
      </w:r>
      <w:r w:rsidR="00C07D21" w:rsidRPr="00F21F08">
        <w:rPr>
          <w:rFonts w:ascii="Times New Roman" w:hAnsi="Times New Roman"/>
        </w:rPr>
        <w:t>hair, Accounting Principles Committee</w:t>
      </w:r>
    </w:p>
    <w:p w14:paraId="2AF5DD4C" w14:textId="67571262" w:rsidR="005838C5" w:rsidRPr="001077B6" w:rsidRDefault="00483CC0" w:rsidP="005838C5">
      <w:pPr>
        <w:jc w:val="center"/>
        <w:rPr>
          <w:sz w:val="18"/>
          <w:szCs w:val="18"/>
        </w:rPr>
      </w:pPr>
      <w:r>
        <w:br w:type="page"/>
      </w:r>
      <w:r w:rsidR="005838C5" w:rsidRPr="001077B6">
        <w:rPr>
          <w:sz w:val="18"/>
          <w:szCs w:val="18"/>
        </w:rPr>
        <w:lastRenderedPageBreak/>
        <w:t>APPENDIX A</w:t>
      </w:r>
    </w:p>
    <w:p w14:paraId="35376C73" w14:textId="77777777" w:rsidR="005838C5" w:rsidRPr="001077B6" w:rsidRDefault="005838C5" w:rsidP="005838C5">
      <w:pPr>
        <w:tabs>
          <w:tab w:val="center" w:pos="4680"/>
        </w:tabs>
        <w:suppressAutoHyphens/>
        <w:spacing w:after="0"/>
        <w:jc w:val="center"/>
        <w:rPr>
          <w:sz w:val="18"/>
          <w:szCs w:val="18"/>
        </w:rPr>
      </w:pPr>
      <w:r w:rsidRPr="001077B6">
        <w:rPr>
          <w:sz w:val="18"/>
          <w:szCs w:val="18"/>
        </w:rPr>
        <w:t>ACCOUNTING PRINCIPLES COMMITTEE</w:t>
      </w:r>
    </w:p>
    <w:p w14:paraId="2A484854" w14:textId="77777777" w:rsidR="005838C5" w:rsidRPr="001077B6" w:rsidRDefault="005838C5" w:rsidP="005838C5">
      <w:pPr>
        <w:tabs>
          <w:tab w:val="center" w:pos="4680"/>
        </w:tabs>
        <w:suppressAutoHyphens/>
        <w:spacing w:after="0"/>
        <w:jc w:val="center"/>
        <w:rPr>
          <w:sz w:val="18"/>
          <w:szCs w:val="18"/>
        </w:rPr>
      </w:pPr>
      <w:r w:rsidRPr="001077B6">
        <w:rPr>
          <w:sz w:val="18"/>
          <w:szCs w:val="18"/>
        </w:rPr>
        <w:t>ORGANIZATION AND OPERATING PROCEDURES</w:t>
      </w:r>
    </w:p>
    <w:p w14:paraId="320B7C1C" w14:textId="77777777" w:rsidR="005838C5" w:rsidRPr="001077B6" w:rsidRDefault="005838C5" w:rsidP="005838C5">
      <w:pPr>
        <w:tabs>
          <w:tab w:val="center" w:pos="4680"/>
        </w:tabs>
        <w:suppressAutoHyphens/>
        <w:spacing w:after="0"/>
        <w:jc w:val="center"/>
        <w:rPr>
          <w:sz w:val="18"/>
          <w:szCs w:val="18"/>
        </w:rPr>
      </w:pPr>
      <w:r w:rsidRPr="001077B6">
        <w:rPr>
          <w:sz w:val="18"/>
          <w:szCs w:val="18"/>
        </w:rPr>
        <w:t>201</w:t>
      </w:r>
      <w:r>
        <w:rPr>
          <w:sz w:val="18"/>
          <w:szCs w:val="18"/>
        </w:rPr>
        <w:t>6-2017</w:t>
      </w:r>
    </w:p>
    <w:p w14:paraId="7DA4FD7C" w14:textId="77777777" w:rsidR="005838C5" w:rsidRPr="001077B6" w:rsidRDefault="005838C5" w:rsidP="005838C5">
      <w:pPr>
        <w:tabs>
          <w:tab w:val="center" w:pos="4680"/>
        </w:tabs>
        <w:suppressAutoHyphens/>
        <w:spacing w:after="0"/>
        <w:jc w:val="center"/>
        <w:rPr>
          <w:sz w:val="24"/>
          <w:szCs w:val="24"/>
        </w:rPr>
      </w:pPr>
    </w:p>
    <w:p w14:paraId="3D9D6A8B" w14:textId="77777777" w:rsidR="005838C5" w:rsidRPr="00075D65" w:rsidRDefault="005838C5" w:rsidP="005838C5">
      <w:pPr>
        <w:jc w:val="both"/>
        <w:rPr>
          <w:spacing w:val="-3"/>
          <w:sz w:val="18"/>
          <w:szCs w:val="18"/>
        </w:rPr>
      </w:pPr>
      <w:r w:rsidRPr="001077B6">
        <w:rPr>
          <w:spacing w:val="-3"/>
          <w:sz w:val="18"/>
          <w:szCs w:val="18"/>
        </w:rPr>
        <w:t>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w:t>
      </w:r>
      <w:r>
        <w:rPr>
          <w:spacing w:val="-3"/>
          <w:sz w:val="18"/>
          <w:szCs w:val="18"/>
        </w:rPr>
        <w:t xml:space="preserve"> </w:t>
      </w:r>
      <w:r w:rsidRPr="001077B6">
        <w:rPr>
          <w:spacing w:val="-3"/>
          <w:sz w:val="18"/>
          <w:szCs w:val="18"/>
        </w:rPr>
        <w:t>and do not purport to represent the views of their business affiliations</w:t>
      </w:r>
      <w:r w:rsidRPr="00075D65">
        <w:rPr>
          <w:spacing w:val="-3"/>
          <w:sz w:val="18"/>
          <w:szCs w:val="18"/>
        </w:rPr>
        <w:t xml:space="preserve">. </w:t>
      </w:r>
    </w:p>
    <w:p w14:paraId="5B0D30EF" w14:textId="77777777" w:rsidR="005838C5" w:rsidRPr="001077B6" w:rsidRDefault="005838C5" w:rsidP="005838C5">
      <w:pPr>
        <w:tabs>
          <w:tab w:val="left" w:pos="-720"/>
        </w:tabs>
        <w:suppressAutoHyphens/>
        <w:jc w:val="both"/>
        <w:rPr>
          <w:spacing w:val="-3"/>
          <w:sz w:val="18"/>
          <w:szCs w:val="18"/>
        </w:rPr>
      </w:pPr>
      <w:r w:rsidRPr="001077B6">
        <w:rPr>
          <w:spacing w:val="-3"/>
          <w:sz w:val="18"/>
          <w:szCs w:val="18"/>
        </w:rPr>
        <w:t>The Committee usually operates by assigning Subcommittees of its members to</w:t>
      </w:r>
      <w:r>
        <w:rPr>
          <w:spacing w:val="-3"/>
          <w:sz w:val="18"/>
          <w:szCs w:val="18"/>
        </w:rPr>
        <w:t xml:space="preserve"> fully study and discuss </w:t>
      </w:r>
      <w:r w:rsidRPr="001077B6">
        <w:rPr>
          <w:spacing w:val="-3"/>
          <w:sz w:val="18"/>
          <w:szCs w:val="18"/>
        </w:rPr>
        <w:t>exposure documents proposing additions to or revisions of accounting standards.  The Subcommittee ordinarily develops a proposed response that is considered, discussed and voted on by the full Committee.  Support by the full Committee then results in the issuance of a f</w:t>
      </w:r>
      <w:r>
        <w:rPr>
          <w:spacing w:val="-3"/>
          <w:sz w:val="18"/>
          <w:szCs w:val="18"/>
        </w:rPr>
        <w:t xml:space="preserve">ormal response, which at times </w:t>
      </w:r>
      <w:r w:rsidRPr="001077B6">
        <w:rPr>
          <w:spacing w:val="-3"/>
          <w:sz w:val="18"/>
          <w:szCs w:val="18"/>
        </w:rPr>
        <w:t>includes a minority viewpoint.  Current members of the Committee and their business affiliations are as follows:</w:t>
      </w:r>
    </w:p>
    <w:p w14:paraId="241B23E2" w14:textId="77777777" w:rsidR="005838C5" w:rsidRPr="001077B6" w:rsidRDefault="005838C5" w:rsidP="005838C5">
      <w:pPr>
        <w:tabs>
          <w:tab w:val="left" w:pos="-720"/>
        </w:tabs>
        <w:suppressAutoHyphens/>
        <w:spacing w:after="0"/>
        <w:jc w:val="both"/>
        <w:rPr>
          <w:b/>
          <w:spacing w:val="-3"/>
          <w:sz w:val="18"/>
          <w:szCs w:val="18"/>
        </w:rPr>
      </w:pPr>
      <w:r w:rsidRPr="001077B6">
        <w:rPr>
          <w:b/>
          <w:spacing w:val="-3"/>
          <w:sz w:val="18"/>
          <w:szCs w:val="18"/>
        </w:rPr>
        <w:t>Public Accounting Firms:</w:t>
      </w:r>
    </w:p>
    <w:p w14:paraId="403C4D86" w14:textId="77777777" w:rsidR="005838C5" w:rsidRPr="001077B6" w:rsidRDefault="005838C5" w:rsidP="005838C5">
      <w:pPr>
        <w:tabs>
          <w:tab w:val="left" w:pos="-720"/>
        </w:tabs>
        <w:suppressAutoHyphens/>
        <w:spacing w:after="0"/>
        <w:jc w:val="both"/>
        <w:rPr>
          <w:b/>
          <w:spacing w:val="-3"/>
          <w:sz w:val="18"/>
          <w:szCs w:val="18"/>
        </w:rPr>
      </w:pPr>
      <w:r w:rsidRPr="001077B6">
        <w:rPr>
          <w:b/>
          <w:spacing w:val="-3"/>
          <w:sz w:val="18"/>
          <w:szCs w:val="18"/>
        </w:rPr>
        <w:t xml:space="preserve">   Large:  </w:t>
      </w:r>
      <w:r w:rsidRPr="001077B6">
        <w:rPr>
          <w:spacing w:val="-3"/>
          <w:sz w:val="18"/>
          <w:szCs w:val="18"/>
        </w:rPr>
        <w:t>(national &amp; regional)</w:t>
      </w:r>
    </w:p>
    <w:p w14:paraId="6476DEE6" w14:textId="77777777" w:rsidR="005838C5" w:rsidRDefault="005838C5" w:rsidP="005838C5">
      <w:pPr>
        <w:tabs>
          <w:tab w:val="left" w:pos="-720"/>
          <w:tab w:val="left" w:pos="360"/>
          <w:tab w:val="left" w:pos="4230"/>
          <w:tab w:val="left" w:pos="4320"/>
        </w:tabs>
        <w:suppressAutoHyphens/>
        <w:spacing w:after="0"/>
        <w:jc w:val="both"/>
        <w:rPr>
          <w:spacing w:val="-3"/>
          <w:sz w:val="18"/>
          <w:szCs w:val="18"/>
        </w:rPr>
      </w:pPr>
      <w:r>
        <w:rPr>
          <w:spacing w:val="-3"/>
          <w:sz w:val="18"/>
          <w:szCs w:val="18"/>
        </w:rPr>
        <w:tab/>
        <w:t>Jared Bourgeois, CPA</w:t>
      </w:r>
      <w:r>
        <w:rPr>
          <w:spacing w:val="-3"/>
          <w:sz w:val="18"/>
          <w:szCs w:val="18"/>
        </w:rPr>
        <w:tab/>
      </w:r>
      <w:r>
        <w:rPr>
          <w:spacing w:val="-3"/>
          <w:sz w:val="18"/>
          <w:szCs w:val="18"/>
        </w:rPr>
        <w:tab/>
        <w:t xml:space="preserve">PricewaterhouseCoopers LLP </w:t>
      </w:r>
    </w:p>
    <w:p w14:paraId="3F5219DC" w14:textId="77777777" w:rsidR="005838C5" w:rsidRPr="00137076" w:rsidRDefault="005838C5" w:rsidP="005838C5">
      <w:pPr>
        <w:tabs>
          <w:tab w:val="left" w:pos="-720"/>
          <w:tab w:val="left" w:pos="360"/>
          <w:tab w:val="left" w:pos="4230"/>
          <w:tab w:val="left" w:pos="4320"/>
        </w:tabs>
        <w:suppressAutoHyphens/>
        <w:spacing w:after="0"/>
        <w:jc w:val="both"/>
        <w:rPr>
          <w:spacing w:val="-3"/>
          <w:sz w:val="18"/>
          <w:szCs w:val="18"/>
        </w:rPr>
      </w:pPr>
      <w:r>
        <w:rPr>
          <w:spacing w:val="-3"/>
          <w:sz w:val="18"/>
          <w:szCs w:val="18"/>
        </w:rPr>
        <w:tab/>
      </w:r>
      <w:r w:rsidRPr="00137076">
        <w:rPr>
          <w:spacing w:val="-3"/>
          <w:sz w:val="18"/>
          <w:szCs w:val="18"/>
        </w:rPr>
        <w:t>Ryan Brady, CPA</w:t>
      </w:r>
      <w:r>
        <w:rPr>
          <w:spacing w:val="-3"/>
          <w:sz w:val="18"/>
          <w:szCs w:val="18"/>
        </w:rPr>
        <w:t xml:space="preserve"> (Chair)</w:t>
      </w:r>
      <w:r w:rsidRPr="00137076">
        <w:rPr>
          <w:spacing w:val="-3"/>
          <w:sz w:val="18"/>
          <w:szCs w:val="18"/>
        </w:rPr>
        <w:tab/>
      </w:r>
      <w:r w:rsidRPr="00137076">
        <w:rPr>
          <w:spacing w:val="-3"/>
          <w:sz w:val="18"/>
          <w:szCs w:val="18"/>
        </w:rPr>
        <w:tab/>
        <w:t>Grant Thornton LLP</w:t>
      </w:r>
    </w:p>
    <w:p w14:paraId="4BB6F3DF" w14:textId="77777777" w:rsidR="005838C5" w:rsidRDefault="005838C5" w:rsidP="005838C5">
      <w:pPr>
        <w:tabs>
          <w:tab w:val="left" w:pos="-720"/>
          <w:tab w:val="left" w:pos="360"/>
          <w:tab w:val="left" w:pos="540"/>
          <w:tab w:val="left" w:pos="4140"/>
        </w:tabs>
        <w:suppressAutoHyphens/>
        <w:spacing w:after="0"/>
        <w:jc w:val="both"/>
        <w:rPr>
          <w:spacing w:val="-3"/>
          <w:sz w:val="18"/>
          <w:szCs w:val="18"/>
        </w:rPr>
      </w:pPr>
      <w:r>
        <w:rPr>
          <w:spacing w:val="-3"/>
          <w:sz w:val="18"/>
          <w:szCs w:val="18"/>
        </w:rPr>
        <w:tab/>
        <w:t>Rakesh Desai, CPA</w:t>
      </w:r>
      <w:r>
        <w:rPr>
          <w:spacing w:val="-3"/>
          <w:sz w:val="18"/>
          <w:szCs w:val="18"/>
        </w:rPr>
        <w:tab/>
      </w:r>
      <w:r>
        <w:rPr>
          <w:spacing w:val="-3"/>
          <w:sz w:val="18"/>
          <w:szCs w:val="18"/>
        </w:rPr>
        <w:tab/>
        <w:t>KPMG LLP</w:t>
      </w:r>
    </w:p>
    <w:p w14:paraId="44B6A1E1" w14:textId="77777777" w:rsidR="005838C5" w:rsidRPr="00137076" w:rsidRDefault="005838C5" w:rsidP="005838C5">
      <w:pPr>
        <w:tabs>
          <w:tab w:val="left" w:pos="-720"/>
          <w:tab w:val="left" w:pos="360"/>
          <w:tab w:val="left" w:pos="540"/>
          <w:tab w:val="left" w:pos="4140"/>
        </w:tabs>
        <w:suppressAutoHyphens/>
        <w:spacing w:after="0"/>
        <w:jc w:val="both"/>
        <w:rPr>
          <w:spacing w:val="-3"/>
          <w:sz w:val="18"/>
          <w:szCs w:val="18"/>
        </w:rPr>
      </w:pPr>
      <w:r>
        <w:rPr>
          <w:spacing w:val="-3"/>
          <w:sz w:val="18"/>
          <w:szCs w:val="18"/>
        </w:rPr>
        <w:tab/>
        <w:t>William Keirse, CPA</w:t>
      </w:r>
      <w:r>
        <w:rPr>
          <w:spacing w:val="-3"/>
          <w:sz w:val="18"/>
          <w:szCs w:val="18"/>
        </w:rPr>
        <w:tab/>
      </w:r>
      <w:r>
        <w:rPr>
          <w:spacing w:val="-3"/>
          <w:sz w:val="18"/>
          <w:szCs w:val="18"/>
        </w:rPr>
        <w:tab/>
        <w:t>Ernst &amp; Young LLP</w:t>
      </w:r>
    </w:p>
    <w:p w14:paraId="2D6D15D9" w14:textId="77F28DCD" w:rsidR="005838C5" w:rsidRPr="00137076" w:rsidRDefault="005838C5" w:rsidP="005838C5">
      <w:pPr>
        <w:tabs>
          <w:tab w:val="left" w:pos="-720"/>
          <w:tab w:val="left" w:pos="180"/>
          <w:tab w:val="left" w:pos="4230"/>
        </w:tabs>
        <w:suppressAutoHyphens/>
        <w:ind w:left="180" w:hanging="360"/>
        <w:rPr>
          <w:spacing w:val="-3"/>
          <w:sz w:val="18"/>
          <w:szCs w:val="18"/>
        </w:rPr>
      </w:pPr>
      <w:r w:rsidRPr="00137076">
        <w:rPr>
          <w:spacing w:val="-3"/>
          <w:sz w:val="18"/>
          <w:szCs w:val="18"/>
        </w:rPr>
        <w:tab/>
      </w:r>
      <w:r>
        <w:rPr>
          <w:spacing w:val="-3"/>
          <w:sz w:val="18"/>
          <w:szCs w:val="18"/>
        </w:rPr>
        <w:t xml:space="preserve">     </w:t>
      </w:r>
      <w:r w:rsidRPr="00137076">
        <w:rPr>
          <w:spacing w:val="-3"/>
          <w:sz w:val="18"/>
          <w:szCs w:val="18"/>
        </w:rPr>
        <w:t xml:space="preserve">Scott Lehman, CPA </w:t>
      </w:r>
      <w:r w:rsidRPr="00137076">
        <w:rPr>
          <w:spacing w:val="-3"/>
          <w:sz w:val="18"/>
          <w:szCs w:val="18"/>
        </w:rPr>
        <w:tab/>
        <w:t xml:space="preserve">  </w:t>
      </w:r>
      <w:r w:rsidRPr="00137076">
        <w:rPr>
          <w:spacing w:val="-3"/>
          <w:sz w:val="18"/>
          <w:szCs w:val="18"/>
        </w:rPr>
        <w:tab/>
        <w:t>Crowe Horwath LLP</w:t>
      </w:r>
      <w:r>
        <w:rPr>
          <w:spacing w:val="-3"/>
          <w:sz w:val="18"/>
          <w:szCs w:val="18"/>
        </w:rPr>
        <w:br/>
        <w:t xml:space="preserve">     Reid Mitchell, CPA</w:t>
      </w:r>
      <w:r>
        <w:rPr>
          <w:spacing w:val="-3"/>
          <w:sz w:val="18"/>
          <w:szCs w:val="18"/>
        </w:rPr>
        <w:tab/>
        <w:t xml:space="preserve">  </w:t>
      </w:r>
      <w:proofErr w:type="spellStart"/>
      <w:r>
        <w:rPr>
          <w:spacing w:val="-3"/>
          <w:sz w:val="18"/>
          <w:szCs w:val="18"/>
        </w:rPr>
        <w:t>Wipfli</w:t>
      </w:r>
      <w:proofErr w:type="spellEnd"/>
      <w:r>
        <w:rPr>
          <w:spacing w:val="-3"/>
          <w:sz w:val="18"/>
          <w:szCs w:val="18"/>
        </w:rPr>
        <w:t xml:space="preserve"> LLP</w:t>
      </w:r>
      <w:r>
        <w:rPr>
          <w:spacing w:val="-3"/>
          <w:sz w:val="18"/>
          <w:szCs w:val="18"/>
        </w:rPr>
        <w:br/>
        <w:t xml:space="preserve">     </w:t>
      </w:r>
      <w:r w:rsidRPr="00137076">
        <w:rPr>
          <w:spacing w:val="-3"/>
          <w:sz w:val="18"/>
          <w:szCs w:val="18"/>
        </w:rPr>
        <w:t>Elizabeth  Prossnitz, CPA</w:t>
      </w:r>
      <w:r w:rsidRPr="00137076">
        <w:rPr>
          <w:spacing w:val="-3"/>
          <w:sz w:val="18"/>
          <w:szCs w:val="18"/>
        </w:rPr>
        <w:tab/>
      </w:r>
      <w:r w:rsidRPr="00137076">
        <w:rPr>
          <w:spacing w:val="-3"/>
          <w:sz w:val="18"/>
          <w:szCs w:val="18"/>
        </w:rPr>
        <w:tab/>
        <w:t>BDO USA LLP</w:t>
      </w:r>
      <w:r w:rsidRPr="00137076">
        <w:rPr>
          <w:spacing w:val="-3"/>
          <w:sz w:val="18"/>
          <w:szCs w:val="18"/>
        </w:rPr>
        <w:tab/>
      </w:r>
      <w:r>
        <w:rPr>
          <w:spacing w:val="-3"/>
          <w:sz w:val="18"/>
          <w:szCs w:val="18"/>
        </w:rPr>
        <w:br/>
      </w:r>
      <w:r w:rsidRPr="00137076">
        <w:rPr>
          <w:b/>
          <w:spacing w:val="-3"/>
          <w:sz w:val="18"/>
          <w:szCs w:val="18"/>
        </w:rPr>
        <w:t xml:space="preserve">Medium:  </w:t>
      </w:r>
      <w:r w:rsidRPr="00137076">
        <w:rPr>
          <w:spacing w:val="-3"/>
          <w:sz w:val="18"/>
          <w:szCs w:val="18"/>
        </w:rPr>
        <w:t>(more than 40 professionals)</w:t>
      </w:r>
      <w:r>
        <w:rPr>
          <w:spacing w:val="-3"/>
          <w:sz w:val="18"/>
          <w:szCs w:val="18"/>
        </w:rPr>
        <w:br/>
      </w:r>
      <w:r w:rsidRPr="00137076">
        <w:rPr>
          <w:spacing w:val="-3"/>
          <w:sz w:val="18"/>
          <w:szCs w:val="18"/>
        </w:rPr>
        <w:t xml:space="preserve">     Timothy Bellazzini, CPA</w:t>
      </w:r>
      <w:r w:rsidRPr="00137076">
        <w:rPr>
          <w:spacing w:val="-3"/>
          <w:sz w:val="18"/>
          <w:szCs w:val="18"/>
        </w:rPr>
        <w:tab/>
      </w:r>
      <w:r w:rsidRPr="00137076">
        <w:rPr>
          <w:spacing w:val="-3"/>
          <w:sz w:val="18"/>
          <w:szCs w:val="18"/>
        </w:rPr>
        <w:tab/>
      </w:r>
      <w:proofErr w:type="spellStart"/>
      <w:r w:rsidRPr="00137076">
        <w:rPr>
          <w:spacing w:val="-3"/>
          <w:sz w:val="18"/>
          <w:szCs w:val="18"/>
        </w:rPr>
        <w:t>Sikich</w:t>
      </w:r>
      <w:proofErr w:type="spellEnd"/>
      <w:r w:rsidRPr="00137076">
        <w:rPr>
          <w:spacing w:val="-3"/>
          <w:sz w:val="18"/>
          <w:szCs w:val="18"/>
        </w:rPr>
        <w:t xml:space="preserve"> LLP</w:t>
      </w:r>
      <w:r w:rsidRPr="00137076">
        <w:rPr>
          <w:spacing w:val="-3"/>
          <w:sz w:val="18"/>
          <w:szCs w:val="18"/>
        </w:rPr>
        <w:br/>
        <w:t xml:space="preserve">     Michael Kidd, CPA</w:t>
      </w:r>
      <w:r w:rsidRPr="00137076">
        <w:rPr>
          <w:spacing w:val="-3"/>
          <w:sz w:val="18"/>
          <w:szCs w:val="18"/>
        </w:rPr>
        <w:tab/>
      </w:r>
      <w:r w:rsidRPr="00137076">
        <w:rPr>
          <w:spacing w:val="-3"/>
          <w:sz w:val="18"/>
          <w:szCs w:val="18"/>
        </w:rPr>
        <w:tab/>
        <w:t xml:space="preserve">Mowery &amp; </w:t>
      </w:r>
      <w:proofErr w:type="spellStart"/>
      <w:r w:rsidRPr="00137076">
        <w:rPr>
          <w:spacing w:val="-3"/>
          <w:sz w:val="18"/>
          <w:szCs w:val="18"/>
        </w:rPr>
        <w:t>Schoenfeld</w:t>
      </w:r>
      <w:proofErr w:type="spellEnd"/>
      <w:r w:rsidRPr="00137076">
        <w:rPr>
          <w:spacing w:val="-3"/>
          <w:sz w:val="18"/>
          <w:szCs w:val="18"/>
        </w:rPr>
        <w:t xml:space="preserve"> LLC</w:t>
      </w:r>
      <w:r>
        <w:rPr>
          <w:spacing w:val="-3"/>
          <w:sz w:val="18"/>
          <w:szCs w:val="18"/>
        </w:rPr>
        <w:br/>
        <w:t xml:space="preserve">     Matthew Mitzen, CPA</w:t>
      </w:r>
      <w:r>
        <w:rPr>
          <w:spacing w:val="-3"/>
          <w:sz w:val="18"/>
          <w:szCs w:val="18"/>
        </w:rPr>
        <w:tab/>
        <w:t xml:space="preserve">  Marcum LLP</w:t>
      </w:r>
      <w:r>
        <w:rPr>
          <w:spacing w:val="-3"/>
          <w:sz w:val="18"/>
          <w:szCs w:val="18"/>
        </w:rPr>
        <w:br/>
      </w:r>
      <w:r w:rsidRPr="00137076">
        <w:rPr>
          <w:snapToGrid w:val="0"/>
          <w:color w:val="000000"/>
          <w:sz w:val="18"/>
          <w:szCs w:val="18"/>
        </w:rPr>
        <w:t xml:space="preserve">    Jeffery Watson, CPA </w:t>
      </w:r>
      <w:r w:rsidRPr="00137076">
        <w:rPr>
          <w:snapToGrid w:val="0"/>
          <w:color w:val="000000"/>
          <w:sz w:val="18"/>
          <w:szCs w:val="18"/>
        </w:rPr>
        <w:tab/>
      </w:r>
      <w:r w:rsidRPr="00137076">
        <w:rPr>
          <w:snapToGrid w:val="0"/>
          <w:color w:val="000000"/>
          <w:sz w:val="18"/>
          <w:szCs w:val="18"/>
        </w:rPr>
        <w:tab/>
      </w:r>
      <w:r w:rsidRPr="00137076">
        <w:rPr>
          <w:bCs/>
          <w:sz w:val="18"/>
          <w:szCs w:val="18"/>
        </w:rPr>
        <w:t>Miller Cooper &amp; Co</w:t>
      </w:r>
      <w:r w:rsidR="00142782">
        <w:rPr>
          <w:bCs/>
          <w:sz w:val="18"/>
          <w:szCs w:val="18"/>
        </w:rPr>
        <w:t xml:space="preserve">., </w:t>
      </w:r>
      <w:r w:rsidRPr="00137076">
        <w:rPr>
          <w:bCs/>
          <w:sz w:val="18"/>
          <w:szCs w:val="18"/>
        </w:rPr>
        <w:t xml:space="preserve"> Ltd</w:t>
      </w:r>
      <w:r w:rsidR="00142782">
        <w:rPr>
          <w:bCs/>
          <w:sz w:val="18"/>
          <w:szCs w:val="18"/>
        </w:rPr>
        <w:t>.</w:t>
      </w:r>
      <w:r w:rsidRPr="00137076">
        <w:rPr>
          <w:spacing w:val="-3"/>
          <w:sz w:val="18"/>
          <w:szCs w:val="18"/>
        </w:rPr>
        <w:br/>
      </w:r>
      <w:r w:rsidR="00783854" w:rsidRPr="00137076">
        <w:rPr>
          <w:b/>
          <w:spacing w:val="-3"/>
          <w:sz w:val="18"/>
          <w:szCs w:val="18"/>
        </w:rPr>
        <w:t xml:space="preserve">Small: </w:t>
      </w:r>
      <w:r w:rsidR="00783854" w:rsidRPr="00137076">
        <w:rPr>
          <w:spacing w:val="-3"/>
          <w:sz w:val="18"/>
          <w:szCs w:val="18"/>
        </w:rPr>
        <w:t>(less than 40 professionals)</w:t>
      </w:r>
      <w:r w:rsidR="00783854" w:rsidRPr="00137076">
        <w:rPr>
          <w:spacing w:val="-3"/>
          <w:sz w:val="18"/>
          <w:szCs w:val="18"/>
        </w:rPr>
        <w:br/>
        <w:t xml:space="preserve">     Peggy Brady, CPA</w:t>
      </w:r>
      <w:r w:rsidR="00783854" w:rsidRPr="00137076">
        <w:rPr>
          <w:spacing w:val="-3"/>
          <w:sz w:val="18"/>
          <w:szCs w:val="18"/>
        </w:rPr>
        <w:tab/>
      </w:r>
      <w:r w:rsidR="00783854" w:rsidRPr="00137076">
        <w:rPr>
          <w:spacing w:val="-3"/>
          <w:sz w:val="18"/>
          <w:szCs w:val="18"/>
        </w:rPr>
        <w:tab/>
        <w:t>Selden Fox, Ltd.</w:t>
      </w:r>
      <w:r w:rsidR="00783854" w:rsidRPr="00137076">
        <w:rPr>
          <w:spacing w:val="-3"/>
          <w:sz w:val="18"/>
          <w:szCs w:val="18"/>
        </w:rPr>
        <w:br/>
        <w:t xml:space="preserve">     Marvin Hoffman, CPA </w:t>
      </w:r>
      <w:r w:rsidR="00783854" w:rsidRPr="00137076">
        <w:rPr>
          <w:spacing w:val="-3"/>
          <w:sz w:val="18"/>
          <w:szCs w:val="18"/>
        </w:rPr>
        <w:tab/>
      </w:r>
      <w:r w:rsidR="00783854" w:rsidRPr="00137076">
        <w:rPr>
          <w:spacing w:val="-3"/>
          <w:sz w:val="18"/>
          <w:szCs w:val="18"/>
        </w:rPr>
        <w:tab/>
        <w:t xml:space="preserve">Bronswick, </w:t>
      </w:r>
      <w:proofErr w:type="spellStart"/>
      <w:r w:rsidR="00783854" w:rsidRPr="00137076">
        <w:rPr>
          <w:spacing w:val="-3"/>
          <w:sz w:val="18"/>
          <w:szCs w:val="18"/>
        </w:rPr>
        <w:t>Reicin</w:t>
      </w:r>
      <w:proofErr w:type="spellEnd"/>
      <w:r w:rsidR="00783854" w:rsidRPr="00137076">
        <w:rPr>
          <w:spacing w:val="-3"/>
          <w:sz w:val="18"/>
          <w:szCs w:val="18"/>
        </w:rPr>
        <w:t xml:space="preserve">, Pollack, Ltd. </w:t>
      </w:r>
      <w:r w:rsidR="00783854" w:rsidRPr="00137076">
        <w:rPr>
          <w:spacing w:val="-3"/>
          <w:sz w:val="18"/>
          <w:szCs w:val="18"/>
        </w:rPr>
        <w:br/>
        <w:t xml:space="preserve">     Brian Kot, CPA</w:t>
      </w:r>
      <w:r w:rsidR="00783854">
        <w:rPr>
          <w:spacing w:val="-3"/>
          <w:sz w:val="18"/>
          <w:szCs w:val="18"/>
        </w:rPr>
        <w:t xml:space="preserve"> (Vice Chair)</w:t>
      </w:r>
      <w:r w:rsidR="00783854" w:rsidRPr="00137076">
        <w:rPr>
          <w:spacing w:val="-3"/>
          <w:sz w:val="18"/>
          <w:szCs w:val="18"/>
        </w:rPr>
        <w:tab/>
      </w:r>
      <w:r w:rsidR="00783854" w:rsidRPr="00137076">
        <w:rPr>
          <w:spacing w:val="-3"/>
          <w:sz w:val="18"/>
          <w:szCs w:val="18"/>
        </w:rPr>
        <w:tab/>
        <w:t>Cray Kaiser Ltd CPAs</w:t>
      </w:r>
      <w:r w:rsidR="00783854">
        <w:rPr>
          <w:spacing w:val="-3"/>
          <w:sz w:val="18"/>
          <w:szCs w:val="18"/>
        </w:rPr>
        <w:br/>
        <w:t xml:space="preserve">     </w:t>
      </w:r>
      <w:r w:rsidR="00783854" w:rsidRPr="00137076">
        <w:rPr>
          <w:spacing w:val="-3"/>
          <w:sz w:val="18"/>
          <w:szCs w:val="18"/>
        </w:rPr>
        <w:t>Joshua Lance, CPA</w:t>
      </w:r>
      <w:r w:rsidR="00783854" w:rsidRPr="00137076">
        <w:rPr>
          <w:spacing w:val="-3"/>
          <w:sz w:val="18"/>
          <w:szCs w:val="18"/>
        </w:rPr>
        <w:tab/>
      </w:r>
      <w:r w:rsidR="00783854" w:rsidRPr="009037C2">
        <w:rPr>
          <w:spacing w:val="-3"/>
          <w:sz w:val="18"/>
          <w:szCs w:val="18"/>
        </w:rPr>
        <w:t xml:space="preserve">  </w:t>
      </w:r>
      <w:r w:rsidR="00783854" w:rsidRPr="009037C2">
        <w:rPr>
          <w:spacing w:val="-3"/>
          <w:sz w:val="18"/>
          <w:szCs w:val="18"/>
        </w:rPr>
        <w:tab/>
      </w:r>
      <w:r w:rsidR="00783854" w:rsidRPr="009037C2">
        <w:rPr>
          <w:sz w:val="18"/>
          <w:szCs w:val="18"/>
        </w:rPr>
        <w:t>Joshua Lance CPA, LLC</w:t>
      </w:r>
    </w:p>
    <w:p w14:paraId="4CEBE8E4" w14:textId="77777777" w:rsidR="005838C5" w:rsidRDefault="005838C5" w:rsidP="005838C5">
      <w:pPr>
        <w:tabs>
          <w:tab w:val="left" w:pos="-720"/>
        </w:tabs>
        <w:suppressAutoHyphens/>
        <w:spacing w:after="0"/>
        <w:jc w:val="both"/>
        <w:rPr>
          <w:b/>
          <w:spacing w:val="-3"/>
          <w:sz w:val="18"/>
          <w:szCs w:val="18"/>
        </w:rPr>
      </w:pPr>
      <w:r>
        <w:rPr>
          <w:b/>
          <w:spacing w:val="-3"/>
          <w:sz w:val="18"/>
          <w:szCs w:val="18"/>
        </w:rPr>
        <w:t>Educators:</w:t>
      </w:r>
    </w:p>
    <w:p w14:paraId="11526279" w14:textId="77777777" w:rsidR="005838C5" w:rsidRPr="00137076" w:rsidRDefault="005838C5" w:rsidP="005838C5">
      <w:pPr>
        <w:tabs>
          <w:tab w:val="left" w:pos="-720"/>
          <w:tab w:val="left" w:pos="360"/>
          <w:tab w:val="left" w:pos="4230"/>
          <w:tab w:val="left" w:pos="4320"/>
        </w:tabs>
        <w:suppressAutoHyphens/>
        <w:spacing w:after="0"/>
        <w:ind w:left="360"/>
        <w:jc w:val="both"/>
        <w:rPr>
          <w:spacing w:val="-3"/>
          <w:sz w:val="18"/>
          <w:szCs w:val="18"/>
        </w:rPr>
      </w:pPr>
      <w:r w:rsidRPr="00137076">
        <w:rPr>
          <w:spacing w:val="-3"/>
          <w:sz w:val="18"/>
          <w:szCs w:val="18"/>
        </w:rPr>
        <w:t>John Hepp, CPA</w:t>
      </w:r>
      <w:r>
        <w:rPr>
          <w:spacing w:val="-3"/>
          <w:sz w:val="18"/>
          <w:szCs w:val="18"/>
        </w:rPr>
        <w:tab/>
      </w:r>
      <w:r>
        <w:rPr>
          <w:spacing w:val="-3"/>
          <w:sz w:val="18"/>
          <w:szCs w:val="18"/>
        </w:rPr>
        <w:tab/>
        <w:t>University of Illinois at Urbana-Champaign</w:t>
      </w:r>
      <w:r w:rsidRPr="00137076">
        <w:rPr>
          <w:spacing w:val="-3"/>
          <w:sz w:val="18"/>
          <w:szCs w:val="18"/>
        </w:rPr>
        <w:tab/>
      </w:r>
      <w:r w:rsidRPr="00137076">
        <w:rPr>
          <w:spacing w:val="-3"/>
          <w:sz w:val="18"/>
          <w:szCs w:val="18"/>
        </w:rPr>
        <w:tab/>
      </w:r>
    </w:p>
    <w:p w14:paraId="20988829" w14:textId="77777777" w:rsidR="005838C5" w:rsidRDefault="005838C5" w:rsidP="005838C5">
      <w:pPr>
        <w:tabs>
          <w:tab w:val="left" w:pos="-720"/>
        </w:tabs>
        <w:suppressAutoHyphens/>
        <w:spacing w:after="0"/>
        <w:jc w:val="both"/>
        <w:rPr>
          <w:b/>
          <w:spacing w:val="-3"/>
          <w:sz w:val="18"/>
          <w:szCs w:val="18"/>
        </w:rPr>
      </w:pPr>
    </w:p>
    <w:p w14:paraId="16AC5C52" w14:textId="77777777" w:rsidR="005838C5" w:rsidRPr="00137076" w:rsidRDefault="005838C5" w:rsidP="005838C5">
      <w:pPr>
        <w:tabs>
          <w:tab w:val="left" w:pos="-720"/>
        </w:tabs>
        <w:suppressAutoHyphens/>
        <w:spacing w:after="0"/>
        <w:jc w:val="both"/>
        <w:rPr>
          <w:b/>
          <w:spacing w:val="-3"/>
          <w:sz w:val="18"/>
          <w:szCs w:val="18"/>
        </w:rPr>
      </w:pPr>
      <w:r w:rsidRPr="00137076">
        <w:rPr>
          <w:b/>
          <w:spacing w:val="-3"/>
          <w:sz w:val="18"/>
          <w:szCs w:val="18"/>
        </w:rPr>
        <w:t>Industry:</w:t>
      </w:r>
    </w:p>
    <w:p w14:paraId="6D5E7DF1" w14:textId="04BC2DF5" w:rsidR="005838C5" w:rsidRPr="00137076" w:rsidRDefault="005838C5" w:rsidP="005838C5">
      <w:pPr>
        <w:tabs>
          <w:tab w:val="left" w:pos="-720"/>
          <w:tab w:val="left" w:pos="360"/>
          <w:tab w:val="left" w:pos="4140"/>
          <w:tab w:val="left" w:pos="4230"/>
        </w:tabs>
        <w:suppressAutoHyphens/>
        <w:spacing w:after="0"/>
        <w:jc w:val="both"/>
        <w:rPr>
          <w:spacing w:val="-3"/>
          <w:sz w:val="18"/>
          <w:szCs w:val="18"/>
        </w:rPr>
      </w:pPr>
      <w:r w:rsidRPr="00137076">
        <w:rPr>
          <w:b/>
          <w:spacing w:val="-3"/>
          <w:sz w:val="18"/>
          <w:szCs w:val="18"/>
        </w:rPr>
        <w:tab/>
      </w:r>
      <w:r w:rsidRPr="00137076">
        <w:rPr>
          <w:spacing w:val="-3"/>
          <w:sz w:val="18"/>
          <w:szCs w:val="18"/>
        </w:rPr>
        <w:t>Rose Cammarata, CPA</w:t>
      </w:r>
      <w:r w:rsidRPr="00137076">
        <w:rPr>
          <w:spacing w:val="-3"/>
          <w:sz w:val="18"/>
          <w:szCs w:val="18"/>
        </w:rPr>
        <w:tab/>
      </w:r>
      <w:r w:rsidRPr="00137076">
        <w:rPr>
          <w:spacing w:val="-3"/>
          <w:sz w:val="18"/>
          <w:szCs w:val="18"/>
        </w:rPr>
        <w:tab/>
      </w:r>
      <w:r w:rsidRPr="00137076">
        <w:rPr>
          <w:spacing w:val="-3"/>
          <w:sz w:val="18"/>
          <w:szCs w:val="18"/>
        </w:rPr>
        <w:tab/>
      </w:r>
      <w:proofErr w:type="spellStart"/>
      <w:r w:rsidR="00E8400D">
        <w:rPr>
          <w:spacing w:val="-3"/>
          <w:sz w:val="18"/>
          <w:szCs w:val="18"/>
        </w:rPr>
        <w:t>Mattersight</w:t>
      </w:r>
      <w:proofErr w:type="spellEnd"/>
      <w:r w:rsidR="00E8400D">
        <w:rPr>
          <w:spacing w:val="-3"/>
          <w:sz w:val="18"/>
          <w:szCs w:val="18"/>
        </w:rPr>
        <w:t xml:space="preserve"> Corp.</w:t>
      </w:r>
    </w:p>
    <w:p w14:paraId="5D1283AE" w14:textId="77777777" w:rsidR="005838C5" w:rsidRDefault="005838C5" w:rsidP="005838C5">
      <w:pPr>
        <w:tabs>
          <w:tab w:val="left" w:pos="-720"/>
          <w:tab w:val="left" w:pos="360"/>
          <w:tab w:val="left" w:pos="4140"/>
          <w:tab w:val="left" w:pos="4230"/>
        </w:tabs>
        <w:suppressAutoHyphens/>
        <w:spacing w:after="0"/>
        <w:jc w:val="both"/>
        <w:rPr>
          <w:spacing w:val="-3"/>
          <w:sz w:val="18"/>
          <w:szCs w:val="18"/>
        </w:rPr>
      </w:pPr>
      <w:r>
        <w:rPr>
          <w:spacing w:val="-3"/>
          <w:sz w:val="18"/>
          <w:szCs w:val="18"/>
        </w:rPr>
        <w:tab/>
        <w:t>Ashlee Earl, CPA</w:t>
      </w:r>
      <w:r>
        <w:rPr>
          <w:spacing w:val="-3"/>
          <w:sz w:val="18"/>
          <w:szCs w:val="18"/>
        </w:rPr>
        <w:tab/>
      </w:r>
      <w:r>
        <w:rPr>
          <w:spacing w:val="-3"/>
          <w:sz w:val="18"/>
          <w:szCs w:val="18"/>
        </w:rPr>
        <w:tab/>
      </w:r>
      <w:r>
        <w:rPr>
          <w:spacing w:val="-3"/>
          <w:sz w:val="18"/>
          <w:szCs w:val="18"/>
        </w:rPr>
        <w:tab/>
        <w:t>Seaway Bank and Trust Company</w:t>
      </w:r>
    </w:p>
    <w:p w14:paraId="2A52913D" w14:textId="77777777" w:rsidR="005838C5" w:rsidRDefault="005838C5" w:rsidP="005838C5">
      <w:pPr>
        <w:tabs>
          <w:tab w:val="left" w:pos="-720"/>
          <w:tab w:val="left" w:pos="360"/>
          <w:tab w:val="left" w:pos="4140"/>
          <w:tab w:val="left" w:pos="4230"/>
        </w:tabs>
        <w:suppressAutoHyphens/>
        <w:spacing w:after="0"/>
        <w:jc w:val="both"/>
        <w:rPr>
          <w:spacing w:val="-3"/>
          <w:sz w:val="18"/>
          <w:szCs w:val="18"/>
        </w:rPr>
      </w:pPr>
      <w:r>
        <w:rPr>
          <w:spacing w:val="-3"/>
          <w:sz w:val="18"/>
          <w:szCs w:val="18"/>
        </w:rPr>
        <w:tab/>
        <w:t>Jeffrey Ellis, CPA</w:t>
      </w:r>
      <w:r>
        <w:rPr>
          <w:spacing w:val="-3"/>
          <w:sz w:val="18"/>
          <w:szCs w:val="18"/>
        </w:rPr>
        <w:tab/>
      </w:r>
      <w:r>
        <w:rPr>
          <w:spacing w:val="-3"/>
          <w:sz w:val="18"/>
          <w:szCs w:val="18"/>
        </w:rPr>
        <w:tab/>
      </w:r>
      <w:r>
        <w:rPr>
          <w:spacing w:val="-3"/>
          <w:sz w:val="18"/>
          <w:szCs w:val="18"/>
        </w:rPr>
        <w:tab/>
        <w:t xml:space="preserve">FTI Consulting, Inc. </w:t>
      </w:r>
      <w:r w:rsidRPr="00137076">
        <w:rPr>
          <w:spacing w:val="-3"/>
          <w:sz w:val="18"/>
          <w:szCs w:val="18"/>
        </w:rPr>
        <w:tab/>
      </w:r>
    </w:p>
    <w:p w14:paraId="3C9AA1A2" w14:textId="77777777" w:rsidR="005838C5" w:rsidRPr="00137076" w:rsidRDefault="005838C5" w:rsidP="005838C5">
      <w:pPr>
        <w:tabs>
          <w:tab w:val="left" w:pos="-720"/>
          <w:tab w:val="left" w:pos="360"/>
          <w:tab w:val="left" w:pos="4140"/>
          <w:tab w:val="left" w:pos="4230"/>
        </w:tabs>
        <w:suppressAutoHyphens/>
        <w:spacing w:after="0"/>
        <w:jc w:val="both"/>
        <w:rPr>
          <w:spacing w:val="-3"/>
          <w:sz w:val="18"/>
          <w:szCs w:val="18"/>
        </w:rPr>
      </w:pPr>
      <w:r>
        <w:rPr>
          <w:spacing w:val="-3"/>
          <w:sz w:val="18"/>
          <w:szCs w:val="18"/>
        </w:rPr>
        <w:tab/>
        <w:t>Christopher Hamm, CPA</w:t>
      </w:r>
      <w:r>
        <w:rPr>
          <w:spacing w:val="-3"/>
          <w:sz w:val="18"/>
          <w:szCs w:val="18"/>
        </w:rPr>
        <w:tab/>
      </w:r>
      <w:r>
        <w:rPr>
          <w:spacing w:val="-3"/>
          <w:sz w:val="18"/>
          <w:szCs w:val="18"/>
        </w:rPr>
        <w:tab/>
      </w:r>
      <w:r>
        <w:rPr>
          <w:spacing w:val="-3"/>
          <w:sz w:val="18"/>
          <w:szCs w:val="18"/>
        </w:rPr>
        <w:tab/>
      </w:r>
      <w:proofErr w:type="spellStart"/>
      <w:r>
        <w:rPr>
          <w:spacing w:val="-3"/>
          <w:sz w:val="18"/>
          <w:szCs w:val="18"/>
        </w:rPr>
        <w:t>Artex</w:t>
      </w:r>
      <w:proofErr w:type="spellEnd"/>
      <w:r>
        <w:rPr>
          <w:spacing w:val="-3"/>
          <w:sz w:val="18"/>
          <w:szCs w:val="18"/>
        </w:rPr>
        <w:t xml:space="preserve"> Risk Solutions, Inc. </w:t>
      </w:r>
    </w:p>
    <w:p w14:paraId="1337A0D7" w14:textId="2F1FE6BB" w:rsidR="005838C5" w:rsidRPr="00137076" w:rsidRDefault="005838C5" w:rsidP="005838C5">
      <w:pPr>
        <w:ind w:left="360"/>
        <w:rPr>
          <w:spacing w:val="-3"/>
          <w:sz w:val="18"/>
          <w:szCs w:val="18"/>
        </w:rPr>
      </w:pPr>
      <w:r w:rsidRPr="00137076">
        <w:rPr>
          <w:spacing w:val="-3"/>
          <w:sz w:val="18"/>
          <w:szCs w:val="18"/>
        </w:rPr>
        <w:t>Marianne  Lorenz, CPA</w:t>
      </w:r>
      <w:r w:rsidRPr="00137076">
        <w:rPr>
          <w:spacing w:val="-3"/>
          <w:sz w:val="18"/>
          <w:szCs w:val="18"/>
        </w:rPr>
        <w:tab/>
      </w:r>
      <w:r w:rsidRPr="00137076">
        <w:rPr>
          <w:spacing w:val="-3"/>
          <w:sz w:val="18"/>
          <w:szCs w:val="18"/>
        </w:rPr>
        <w:tab/>
        <w:t xml:space="preserve">               </w:t>
      </w:r>
      <w:r w:rsidRPr="00137076">
        <w:rPr>
          <w:spacing w:val="-3"/>
          <w:sz w:val="18"/>
          <w:szCs w:val="18"/>
        </w:rPr>
        <w:tab/>
        <w:t xml:space="preserve">               </w:t>
      </w:r>
      <w:r w:rsidRPr="00137076">
        <w:rPr>
          <w:spacing w:val="-3"/>
          <w:sz w:val="18"/>
          <w:szCs w:val="18"/>
        </w:rPr>
        <w:tab/>
      </w:r>
      <w:r w:rsidR="00AB6C1D">
        <w:rPr>
          <w:spacing w:val="-3"/>
          <w:sz w:val="18"/>
          <w:szCs w:val="18"/>
        </w:rPr>
        <w:t>Southern Company Gas</w:t>
      </w:r>
      <w:r w:rsidRPr="00137076">
        <w:rPr>
          <w:spacing w:val="-3"/>
          <w:sz w:val="18"/>
          <w:szCs w:val="18"/>
        </w:rPr>
        <w:br/>
        <w:t>Michael  Maffei, CPA</w:t>
      </w:r>
      <w:r w:rsidRPr="00137076">
        <w:rPr>
          <w:spacing w:val="-3"/>
          <w:sz w:val="18"/>
          <w:szCs w:val="18"/>
        </w:rPr>
        <w:tab/>
        <w:t xml:space="preserve"> </w:t>
      </w:r>
      <w:r w:rsidRPr="00137076">
        <w:rPr>
          <w:spacing w:val="-3"/>
          <w:sz w:val="18"/>
          <w:szCs w:val="18"/>
        </w:rPr>
        <w:tab/>
      </w:r>
      <w:r w:rsidRPr="00137076">
        <w:rPr>
          <w:spacing w:val="-3"/>
          <w:sz w:val="18"/>
          <w:szCs w:val="18"/>
        </w:rPr>
        <w:tab/>
        <w:t xml:space="preserve">               </w:t>
      </w:r>
      <w:r w:rsidRPr="00137076">
        <w:rPr>
          <w:spacing w:val="-3"/>
          <w:sz w:val="18"/>
          <w:szCs w:val="18"/>
        </w:rPr>
        <w:tab/>
        <w:t>GATX Corporation</w:t>
      </w:r>
      <w:r>
        <w:rPr>
          <w:spacing w:val="-3"/>
          <w:sz w:val="18"/>
          <w:szCs w:val="18"/>
        </w:rPr>
        <w:br/>
        <w:t>Joshua Shenton, CPA</w:t>
      </w:r>
      <w:r>
        <w:rPr>
          <w:spacing w:val="-3"/>
          <w:sz w:val="18"/>
          <w:szCs w:val="18"/>
        </w:rPr>
        <w:tab/>
      </w:r>
      <w:r>
        <w:rPr>
          <w:spacing w:val="-3"/>
          <w:sz w:val="18"/>
          <w:szCs w:val="18"/>
        </w:rPr>
        <w:tab/>
      </w:r>
      <w:r>
        <w:rPr>
          <w:spacing w:val="-3"/>
          <w:sz w:val="18"/>
          <w:szCs w:val="18"/>
        </w:rPr>
        <w:tab/>
      </w:r>
      <w:r>
        <w:rPr>
          <w:spacing w:val="-3"/>
          <w:sz w:val="18"/>
          <w:szCs w:val="18"/>
        </w:rPr>
        <w:tab/>
        <w:t xml:space="preserve">Northern Trust Corp. </w:t>
      </w:r>
      <w:r>
        <w:rPr>
          <w:spacing w:val="-3"/>
          <w:sz w:val="18"/>
          <w:szCs w:val="18"/>
        </w:rPr>
        <w:br/>
      </w:r>
      <w:r w:rsidRPr="00137076">
        <w:rPr>
          <w:spacing w:val="-3"/>
          <w:sz w:val="18"/>
          <w:szCs w:val="18"/>
        </w:rPr>
        <w:t>Richard Tarapchak,</w:t>
      </w:r>
      <w:r>
        <w:rPr>
          <w:spacing w:val="-3"/>
          <w:sz w:val="18"/>
          <w:szCs w:val="18"/>
        </w:rPr>
        <w:t xml:space="preserve"> CPA</w:t>
      </w:r>
      <w:r>
        <w:rPr>
          <w:spacing w:val="-3"/>
          <w:sz w:val="18"/>
          <w:szCs w:val="18"/>
        </w:rPr>
        <w:tab/>
      </w:r>
      <w:r>
        <w:rPr>
          <w:spacing w:val="-3"/>
          <w:sz w:val="18"/>
          <w:szCs w:val="18"/>
        </w:rPr>
        <w:tab/>
      </w:r>
      <w:r>
        <w:rPr>
          <w:spacing w:val="-3"/>
          <w:sz w:val="18"/>
          <w:szCs w:val="18"/>
        </w:rPr>
        <w:tab/>
      </w:r>
      <w:r>
        <w:rPr>
          <w:spacing w:val="-3"/>
          <w:sz w:val="18"/>
          <w:szCs w:val="18"/>
        </w:rPr>
        <w:tab/>
        <w:t>National Material</w:t>
      </w:r>
    </w:p>
    <w:p w14:paraId="58221B8A" w14:textId="77777777" w:rsidR="005838C5" w:rsidRPr="00137076" w:rsidRDefault="005838C5" w:rsidP="005838C5">
      <w:pPr>
        <w:tabs>
          <w:tab w:val="left" w:pos="360"/>
          <w:tab w:val="left" w:pos="4230"/>
        </w:tabs>
        <w:spacing w:after="0"/>
        <w:rPr>
          <w:b/>
          <w:sz w:val="18"/>
          <w:szCs w:val="18"/>
        </w:rPr>
      </w:pPr>
      <w:r w:rsidRPr="00137076">
        <w:rPr>
          <w:b/>
          <w:sz w:val="18"/>
          <w:szCs w:val="18"/>
        </w:rPr>
        <w:t>Staff Representative:</w:t>
      </w:r>
    </w:p>
    <w:p w14:paraId="2F876941" w14:textId="77777777" w:rsidR="005838C5" w:rsidRPr="00B36A5E" w:rsidRDefault="005838C5" w:rsidP="005838C5">
      <w:pPr>
        <w:spacing w:after="0"/>
      </w:pPr>
      <w:r w:rsidRPr="00137076">
        <w:rPr>
          <w:sz w:val="18"/>
          <w:szCs w:val="18"/>
        </w:rPr>
        <w:t xml:space="preserve">        Gayle Floresca, CPA</w:t>
      </w:r>
      <w:r w:rsidRPr="00137076">
        <w:rPr>
          <w:sz w:val="18"/>
          <w:szCs w:val="18"/>
        </w:rPr>
        <w:tab/>
      </w:r>
      <w:r w:rsidRPr="00137076">
        <w:rPr>
          <w:sz w:val="18"/>
          <w:szCs w:val="18"/>
        </w:rPr>
        <w:tab/>
      </w:r>
      <w:r w:rsidRPr="00137076">
        <w:rPr>
          <w:sz w:val="18"/>
          <w:szCs w:val="18"/>
        </w:rPr>
        <w:tab/>
        <w:t xml:space="preserve">            </w:t>
      </w:r>
      <w:r w:rsidRPr="00137076">
        <w:rPr>
          <w:sz w:val="18"/>
          <w:szCs w:val="18"/>
        </w:rPr>
        <w:tab/>
        <w:t xml:space="preserve"> Illinois CPA Society</w:t>
      </w:r>
    </w:p>
    <w:p w14:paraId="0F149991" w14:textId="5691B6B9" w:rsidR="00C07D21" w:rsidRPr="0097339A" w:rsidRDefault="00C07D21">
      <w:pPr>
        <w:rPr>
          <w:rFonts w:ascii="Times New Roman" w:hAnsi="Times New Roman"/>
        </w:rPr>
      </w:pPr>
    </w:p>
    <w:sectPr w:rsidR="00C07D21" w:rsidRPr="0097339A" w:rsidSect="00432EC7">
      <w:headerReference w:type="default" r:id="rId9"/>
      <w:footerReference w:type="default" r:id="rId10"/>
      <w:head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6BE28" w14:textId="77777777" w:rsidR="00955D3B" w:rsidRDefault="00955D3B" w:rsidP="00C07D21">
      <w:pPr>
        <w:spacing w:after="0" w:line="240" w:lineRule="auto"/>
      </w:pPr>
      <w:r>
        <w:separator/>
      </w:r>
    </w:p>
  </w:endnote>
  <w:endnote w:type="continuationSeparator" w:id="0">
    <w:p w14:paraId="5485E72E" w14:textId="77777777" w:rsidR="00955D3B" w:rsidRDefault="00955D3B" w:rsidP="00C07D21">
      <w:pPr>
        <w:spacing w:after="0" w:line="240" w:lineRule="auto"/>
      </w:pPr>
      <w:r>
        <w:continuationSeparator/>
      </w:r>
    </w:p>
  </w:endnote>
  <w:endnote w:type="continuationNotice" w:id="1">
    <w:p w14:paraId="7206EE31" w14:textId="77777777" w:rsidR="00955D3B" w:rsidRDefault="00955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6D456" w14:textId="77777777" w:rsidR="004D4921" w:rsidRDefault="004D4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976C3" w14:textId="77777777" w:rsidR="00955D3B" w:rsidRDefault="00955D3B" w:rsidP="00C07D21">
      <w:pPr>
        <w:spacing w:after="0" w:line="240" w:lineRule="auto"/>
      </w:pPr>
      <w:r>
        <w:separator/>
      </w:r>
    </w:p>
  </w:footnote>
  <w:footnote w:type="continuationSeparator" w:id="0">
    <w:p w14:paraId="52956815" w14:textId="77777777" w:rsidR="00955D3B" w:rsidRDefault="00955D3B" w:rsidP="00C07D21">
      <w:pPr>
        <w:spacing w:after="0" w:line="240" w:lineRule="auto"/>
      </w:pPr>
      <w:r>
        <w:continuationSeparator/>
      </w:r>
    </w:p>
  </w:footnote>
  <w:footnote w:type="continuationNotice" w:id="1">
    <w:p w14:paraId="0F601B6E" w14:textId="77777777" w:rsidR="00955D3B" w:rsidRDefault="00955D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DCE9C" w14:textId="77777777" w:rsidR="004D4921" w:rsidRDefault="004D4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E5E7" w14:textId="22BB1EB7" w:rsidR="00BA56C9" w:rsidRDefault="00BA56C9" w:rsidP="00C07D21">
    <w:pPr>
      <w:pStyle w:val="Header"/>
      <w:jc w:val="center"/>
    </w:pPr>
    <w:r>
      <w:rPr>
        <w:noProof/>
      </w:rPr>
      <w:drawing>
        <wp:inline distT="0" distB="0" distL="0" distR="0" wp14:anchorId="7E49B35E" wp14:editId="6C732870">
          <wp:extent cx="1247775" cy="1057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6DE"/>
    <w:multiLevelType w:val="hybridMultilevel"/>
    <w:tmpl w:val="8C3EBF10"/>
    <w:lvl w:ilvl="0" w:tplc="74869910">
      <w:start w:val="1"/>
      <w:numFmt w:val="decimal"/>
      <w:lvlText w:val="%1."/>
      <w:lvlJc w:val="left"/>
      <w:pPr>
        <w:ind w:left="72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348BC"/>
    <w:multiLevelType w:val="hybridMultilevel"/>
    <w:tmpl w:val="4092A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C55EB"/>
    <w:multiLevelType w:val="hybridMultilevel"/>
    <w:tmpl w:val="DE808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A943DF"/>
    <w:multiLevelType w:val="hybridMultilevel"/>
    <w:tmpl w:val="5B4CF6D2"/>
    <w:lvl w:ilvl="0" w:tplc="5816C7B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6538E0"/>
    <w:multiLevelType w:val="hybridMultilevel"/>
    <w:tmpl w:val="2BCC7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6190197A"/>
    <w:multiLevelType w:val="hybridMultilevel"/>
    <w:tmpl w:val="4602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743C2"/>
    <w:multiLevelType w:val="hybridMultilevel"/>
    <w:tmpl w:val="D55A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41540"/>
    <w:multiLevelType w:val="hybridMultilevel"/>
    <w:tmpl w:val="74D2F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2BA1DF5"/>
    <w:multiLevelType w:val="hybridMultilevel"/>
    <w:tmpl w:val="E39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4"/>
  </w:num>
  <w:num w:numId="6">
    <w:abstractNumId w:val="7"/>
  </w:num>
  <w:num w:numId="7">
    <w:abstractNumId w:val="9"/>
  </w:num>
  <w:num w:numId="8">
    <w:abstractNumId w:val="1"/>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E1"/>
    <w:rsid w:val="0000540A"/>
    <w:rsid w:val="00007C01"/>
    <w:rsid w:val="000142EA"/>
    <w:rsid w:val="00032381"/>
    <w:rsid w:val="00036742"/>
    <w:rsid w:val="000369D7"/>
    <w:rsid w:val="00041775"/>
    <w:rsid w:val="00042A30"/>
    <w:rsid w:val="00050D70"/>
    <w:rsid w:val="00053F62"/>
    <w:rsid w:val="00053FEF"/>
    <w:rsid w:val="00057379"/>
    <w:rsid w:val="00060B2D"/>
    <w:rsid w:val="000657B9"/>
    <w:rsid w:val="00085888"/>
    <w:rsid w:val="0009050E"/>
    <w:rsid w:val="000A141C"/>
    <w:rsid w:val="000A2FC2"/>
    <w:rsid w:val="000A44F0"/>
    <w:rsid w:val="000A6B72"/>
    <w:rsid w:val="000B30A1"/>
    <w:rsid w:val="000D2962"/>
    <w:rsid w:val="000D4CFC"/>
    <w:rsid w:val="000D4E0A"/>
    <w:rsid w:val="000D728D"/>
    <w:rsid w:val="000D7F45"/>
    <w:rsid w:val="000E519D"/>
    <w:rsid w:val="000F4630"/>
    <w:rsid w:val="000F4862"/>
    <w:rsid w:val="00104045"/>
    <w:rsid w:val="0011453E"/>
    <w:rsid w:val="00116708"/>
    <w:rsid w:val="00116E04"/>
    <w:rsid w:val="0011726D"/>
    <w:rsid w:val="00117E71"/>
    <w:rsid w:val="00120B3D"/>
    <w:rsid w:val="00124731"/>
    <w:rsid w:val="00131959"/>
    <w:rsid w:val="0013468E"/>
    <w:rsid w:val="00142782"/>
    <w:rsid w:val="00142BB9"/>
    <w:rsid w:val="00145DFF"/>
    <w:rsid w:val="00146D01"/>
    <w:rsid w:val="00157719"/>
    <w:rsid w:val="00160853"/>
    <w:rsid w:val="00163C8D"/>
    <w:rsid w:val="00164046"/>
    <w:rsid w:val="00171230"/>
    <w:rsid w:val="00171283"/>
    <w:rsid w:val="00171936"/>
    <w:rsid w:val="00176186"/>
    <w:rsid w:val="001832B0"/>
    <w:rsid w:val="001A2F76"/>
    <w:rsid w:val="001A791C"/>
    <w:rsid w:val="001B6B1A"/>
    <w:rsid w:val="001C689F"/>
    <w:rsid w:val="001D009B"/>
    <w:rsid w:val="001D229D"/>
    <w:rsid w:val="001D3215"/>
    <w:rsid w:val="001D50EB"/>
    <w:rsid w:val="001D79D0"/>
    <w:rsid w:val="001D79EE"/>
    <w:rsid w:val="001E54FB"/>
    <w:rsid w:val="00205CF6"/>
    <w:rsid w:val="00206497"/>
    <w:rsid w:val="00210577"/>
    <w:rsid w:val="002179CB"/>
    <w:rsid w:val="002249DE"/>
    <w:rsid w:val="00230273"/>
    <w:rsid w:val="00255FF0"/>
    <w:rsid w:val="00260D7B"/>
    <w:rsid w:val="00263365"/>
    <w:rsid w:val="0026355B"/>
    <w:rsid w:val="00264B8B"/>
    <w:rsid w:val="00265659"/>
    <w:rsid w:val="00265C19"/>
    <w:rsid w:val="00270D5D"/>
    <w:rsid w:val="00273636"/>
    <w:rsid w:val="00274A68"/>
    <w:rsid w:val="002754AB"/>
    <w:rsid w:val="00282AC6"/>
    <w:rsid w:val="002853F7"/>
    <w:rsid w:val="00291510"/>
    <w:rsid w:val="0029201A"/>
    <w:rsid w:val="002954A4"/>
    <w:rsid w:val="00296D5A"/>
    <w:rsid w:val="002A0322"/>
    <w:rsid w:val="002A57B5"/>
    <w:rsid w:val="002B3F2F"/>
    <w:rsid w:val="002C0FD7"/>
    <w:rsid w:val="002C22EC"/>
    <w:rsid w:val="002C4993"/>
    <w:rsid w:val="002C690C"/>
    <w:rsid w:val="002D5DB1"/>
    <w:rsid w:val="002D74CA"/>
    <w:rsid w:val="002F69AD"/>
    <w:rsid w:val="002F745C"/>
    <w:rsid w:val="003033B8"/>
    <w:rsid w:val="00313FA0"/>
    <w:rsid w:val="003144A1"/>
    <w:rsid w:val="003402D4"/>
    <w:rsid w:val="00341352"/>
    <w:rsid w:val="0034247D"/>
    <w:rsid w:val="00347085"/>
    <w:rsid w:val="00347677"/>
    <w:rsid w:val="00347E79"/>
    <w:rsid w:val="00353E39"/>
    <w:rsid w:val="00357C92"/>
    <w:rsid w:val="003707B8"/>
    <w:rsid w:val="00375DB3"/>
    <w:rsid w:val="00380A7A"/>
    <w:rsid w:val="0038475C"/>
    <w:rsid w:val="00395802"/>
    <w:rsid w:val="003A0467"/>
    <w:rsid w:val="003B698A"/>
    <w:rsid w:val="003C0300"/>
    <w:rsid w:val="003C7BD9"/>
    <w:rsid w:val="003E4725"/>
    <w:rsid w:val="003F17CA"/>
    <w:rsid w:val="003F63B5"/>
    <w:rsid w:val="0040300A"/>
    <w:rsid w:val="0041209A"/>
    <w:rsid w:val="0041714B"/>
    <w:rsid w:val="0041745C"/>
    <w:rsid w:val="00427C4D"/>
    <w:rsid w:val="00432EC7"/>
    <w:rsid w:val="00443B4B"/>
    <w:rsid w:val="00443E9E"/>
    <w:rsid w:val="00452EDD"/>
    <w:rsid w:val="00455A3C"/>
    <w:rsid w:val="00456BED"/>
    <w:rsid w:val="00462B05"/>
    <w:rsid w:val="00463AAA"/>
    <w:rsid w:val="004653E5"/>
    <w:rsid w:val="0046571B"/>
    <w:rsid w:val="00476BC9"/>
    <w:rsid w:val="00483CC0"/>
    <w:rsid w:val="004843CB"/>
    <w:rsid w:val="004952E0"/>
    <w:rsid w:val="004B1968"/>
    <w:rsid w:val="004B52D3"/>
    <w:rsid w:val="004C2DCA"/>
    <w:rsid w:val="004D0A66"/>
    <w:rsid w:val="004D0B2F"/>
    <w:rsid w:val="004D0BD1"/>
    <w:rsid w:val="004D1045"/>
    <w:rsid w:val="004D18BD"/>
    <w:rsid w:val="004D1C90"/>
    <w:rsid w:val="004D4921"/>
    <w:rsid w:val="004E2126"/>
    <w:rsid w:val="004E2E28"/>
    <w:rsid w:val="004E4BAA"/>
    <w:rsid w:val="004E7B18"/>
    <w:rsid w:val="004F0E20"/>
    <w:rsid w:val="00505ADE"/>
    <w:rsid w:val="005079B6"/>
    <w:rsid w:val="005229F1"/>
    <w:rsid w:val="00523330"/>
    <w:rsid w:val="00523F4E"/>
    <w:rsid w:val="005251D7"/>
    <w:rsid w:val="005403FE"/>
    <w:rsid w:val="005530F3"/>
    <w:rsid w:val="00553D03"/>
    <w:rsid w:val="00565C7C"/>
    <w:rsid w:val="00572F95"/>
    <w:rsid w:val="005838C5"/>
    <w:rsid w:val="00592861"/>
    <w:rsid w:val="00594184"/>
    <w:rsid w:val="00594BD8"/>
    <w:rsid w:val="00596055"/>
    <w:rsid w:val="005969E2"/>
    <w:rsid w:val="005A168C"/>
    <w:rsid w:val="005A3670"/>
    <w:rsid w:val="005B5BDF"/>
    <w:rsid w:val="005C148C"/>
    <w:rsid w:val="005C2DB4"/>
    <w:rsid w:val="005C7777"/>
    <w:rsid w:val="005C7C74"/>
    <w:rsid w:val="005D1F31"/>
    <w:rsid w:val="005D3892"/>
    <w:rsid w:val="005D6CBB"/>
    <w:rsid w:val="005D7AD3"/>
    <w:rsid w:val="005F434F"/>
    <w:rsid w:val="005F5188"/>
    <w:rsid w:val="006063A7"/>
    <w:rsid w:val="00606DCD"/>
    <w:rsid w:val="00607BE2"/>
    <w:rsid w:val="0061054B"/>
    <w:rsid w:val="0062628D"/>
    <w:rsid w:val="00626453"/>
    <w:rsid w:val="00633DD6"/>
    <w:rsid w:val="00634D65"/>
    <w:rsid w:val="00635F8A"/>
    <w:rsid w:val="00676ADA"/>
    <w:rsid w:val="00677BD2"/>
    <w:rsid w:val="00682518"/>
    <w:rsid w:val="00682D9C"/>
    <w:rsid w:val="00684637"/>
    <w:rsid w:val="00685277"/>
    <w:rsid w:val="00686600"/>
    <w:rsid w:val="00695769"/>
    <w:rsid w:val="0069581C"/>
    <w:rsid w:val="006B0335"/>
    <w:rsid w:val="006B50CF"/>
    <w:rsid w:val="006B6654"/>
    <w:rsid w:val="006D7FE5"/>
    <w:rsid w:val="006E04FA"/>
    <w:rsid w:val="006E0858"/>
    <w:rsid w:val="006E3558"/>
    <w:rsid w:val="006E7763"/>
    <w:rsid w:val="006F5863"/>
    <w:rsid w:val="006F7427"/>
    <w:rsid w:val="00711F27"/>
    <w:rsid w:val="00714F6A"/>
    <w:rsid w:val="00723E93"/>
    <w:rsid w:val="007253AA"/>
    <w:rsid w:val="007264C5"/>
    <w:rsid w:val="00735823"/>
    <w:rsid w:val="0076093B"/>
    <w:rsid w:val="007615EB"/>
    <w:rsid w:val="007617D9"/>
    <w:rsid w:val="007718DC"/>
    <w:rsid w:val="00772526"/>
    <w:rsid w:val="00775763"/>
    <w:rsid w:val="00775E61"/>
    <w:rsid w:val="00783105"/>
    <w:rsid w:val="00783854"/>
    <w:rsid w:val="0078458F"/>
    <w:rsid w:val="007923B5"/>
    <w:rsid w:val="007A4B1F"/>
    <w:rsid w:val="007A755E"/>
    <w:rsid w:val="007C2442"/>
    <w:rsid w:val="007C532D"/>
    <w:rsid w:val="007D187A"/>
    <w:rsid w:val="007E3EA5"/>
    <w:rsid w:val="007F251A"/>
    <w:rsid w:val="00801B9C"/>
    <w:rsid w:val="008023E1"/>
    <w:rsid w:val="0080507E"/>
    <w:rsid w:val="00806C94"/>
    <w:rsid w:val="00812F7B"/>
    <w:rsid w:val="008165E6"/>
    <w:rsid w:val="00830760"/>
    <w:rsid w:val="00837848"/>
    <w:rsid w:val="00852838"/>
    <w:rsid w:val="00855F73"/>
    <w:rsid w:val="00856E14"/>
    <w:rsid w:val="0085755F"/>
    <w:rsid w:val="00867AD3"/>
    <w:rsid w:val="00874581"/>
    <w:rsid w:val="00876585"/>
    <w:rsid w:val="008806F3"/>
    <w:rsid w:val="0088270F"/>
    <w:rsid w:val="00890128"/>
    <w:rsid w:val="008A7A30"/>
    <w:rsid w:val="008B4D87"/>
    <w:rsid w:val="008B55DE"/>
    <w:rsid w:val="008B5F91"/>
    <w:rsid w:val="008B6B1F"/>
    <w:rsid w:val="008B6BEC"/>
    <w:rsid w:val="008C0283"/>
    <w:rsid w:val="008C45C6"/>
    <w:rsid w:val="008C58C1"/>
    <w:rsid w:val="008C7470"/>
    <w:rsid w:val="008D14B3"/>
    <w:rsid w:val="008D298F"/>
    <w:rsid w:val="008E05F5"/>
    <w:rsid w:val="008F4FA6"/>
    <w:rsid w:val="008F5C78"/>
    <w:rsid w:val="00900AB6"/>
    <w:rsid w:val="00913F17"/>
    <w:rsid w:val="009140A0"/>
    <w:rsid w:val="00922646"/>
    <w:rsid w:val="009300EF"/>
    <w:rsid w:val="00946871"/>
    <w:rsid w:val="00951E37"/>
    <w:rsid w:val="009538E7"/>
    <w:rsid w:val="00953EC5"/>
    <w:rsid w:val="00955D3B"/>
    <w:rsid w:val="00957E87"/>
    <w:rsid w:val="00966AF7"/>
    <w:rsid w:val="00971141"/>
    <w:rsid w:val="00972817"/>
    <w:rsid w:val="0097339A"/>
    <w:rsid w:val="009760A6"/>
    <w:rsid w:val="00980FBB"/>
    <w:rsid w:val="009848C2"/>
    <w:rsid w:val="009A171D"/>
    <w:rsid w:val="009A443F"/>
    <w:rsid w:val="009B12ED"/>
    <w:rsid w:val="009C3023"/>
    <w:rsid w:val="009C3411"/>
    <w:rsid w:val="009C59A8"/>
    <w:rsid w:val="009C69E9"/>
    <w:rsid w:val="009D7569"/>
    <w:rsid w:val="009E263F"/>
    <w:rsid w:val="009E29C8"/>
    <w:rsid w:val="009F24C6"/>
    <w:rsid w:val="009F594A"/>
    <w:rsid w:val="00A2079E"/>
    <w:rsid w:val="00A21EA6"/>
    <w:rsid w:val="00A257F0"/>
    <w:rsid w:val="00A27AFF"/>
    <w:rsid w:val="00A3597D"/>
    <w:rsid w:val="00A56155"/>
    <w:rsid w:val="00A6434A"/>
    <w:rsid w:val="00A6493B"/>
    <w:rsid w:val="00A67DA6"/>
    <w:rsid w:val="00A67DAE"/>
    <w:rsid w:val="00A70655"/>
    <w:rsid w:val="00A738BE"/>
    <w:rsid w:val="00A757C6"/>
    <w:rsid w:val="00A778A2"/>
    <w:rsid w:val="00A82D39"/>
    <w:rsid w:val="00A919C6"/>
    <w:rsid w:val="00A9382B"/>
    <w:rsid w:val="00A94D81"/>
    <w:rsid w:val="00AA1ED3"/>
    <w:rsid w:val="00AB39ED"/>
    <w:rsid w:val="00AB6C1D"/>
    <w:rsid w:val="00AC3D7F"/>
    <w:rsid w:val="00AC6BBF"/>
    <w:rsid w:val="00AC7E85"/>
    <w:rsid w:val="00AD16B3"/>
    <w:rsid w:val="00AD359F"/>
    <w:rsid w:val="00AE1A72"/>
    <w:rsid w:val="00AE7443"/>
    <w:rsid w:val="00AF45C5"/>
    <w:rsid w:val="00AF5D54"/>
    <w:rsid w:val="00B10704"/>
    <w:rsid w:val="00B2433B"/>
    <w:rsid w:val="00B45AD5"/>
    <w:rsid w:val="00B705BE"/>
    <w:rsid w:val="00B75AA8"/>
    <w:rsid w:val="00B83688"/>
    <w:rsid w:val="00B85463"/>
    <w:rsid w:val="00B86FB3"/>
    <w:rsid w:val="00B91204"/>
    <w:rsid w:val="00BA05C8"/>
    <w:rsid w:val="00BA2D12"/>
    <w:rsid w:val="00BA56C9"/>
    <w:rsid w:val="00BB2CA4"/>
    <w:rsid w:val="00BB4619"/>
    <w:rsid w:val="00BB4824"/>
    <w:rsid w:val="00BC32E7"/>
    <w:rsid w:val="00BC3E2D"/>
    <w:rsid w:val="00BE276E"/>
    <w:rsid w:val="00BE4AD4"/>
    <w:rsid w:val="00BE64FA"/>
    <w:rsid w:val="00BF1792"/>
    <w:rsid w:val="00C034F1"/>
    <w:rsid w:val="00C07D21"/>
    <w:rsid w:val="00C137C4"/>
    <w:rsid w:val="00C2233B"/>
    <w:rsid w:val="00C35C9A"/>
    <w:rsid w:val="00C3656C"/>
    <w:rsid w:val="00C464CB"/>
    <w:rsid w:val="00C5619A"/>
    <w:rsid w:val="00C6020D"/>
    <w:rsid w:val="00C61383"/>
    <w:rsid w:val="00C62C28"/>
    <w:rsid w:val="00C673C8"/>
    <w:rsid w:val="00C705E6"/>
    <w:rsid w:val="00C71132"/>
    <w:rsid w:val="00C75626"/>
    <w:rsid w:val="00C859FB"/>
    <w:rsid w:val="00C95559"/>
    <w:rsid w:val="00C96463"/>
    <w:rsid w:val="00C97203"/>
    <w:rsid w:val="00CB1219"/>
    <w:rsid w:val="00CB47C8"/>
    <w:rsid w:val="00CC2998"/>
    <w:rsid w:val="00CC3E67"/>
    <w:rsid w:val="00CD09CF"/>
    <w:rsid w:val="00CD281E"/>
    <w:rsid w:val="00CD4125"/>
    <w:rsid w:val="00CD7707"/>
    <w:rsid w:val="00CF120E"/>
    <w:rsid w:val="00D0776B"/>
    <w:rsid w:val="00D13CE9"/>
    <w:rsid w:val="00D17B17"/>
    <w:rsid w:val="00D20B0F"/>
    <w:rsid w:val="00D21131"/>
    <w:rsid w:val="00D348A1"/>
    <w:rsid w:val="00D40953"/>
    <w:rsid w:val="00D44D90"/>
    <w:rsid w:val="00D46354"/>
    <w:rsid w:val="00D53065"/>
    <w:rsid w:val="00D549A4"/>
    <w:rsid w:val="00D54EFA"/>
    <w:rsid w:val="00D62BFB"/>
    <w:rsid w:val="00D6721D"/>
    <w:rsid w:val="00D67BFE"/>
    <w:rsid w:val="00D726DA"/>
    <w:rsid w:val="00D72765"/>
    <w:rsid w:val="00D90CE1"/>
    <w:rsid w:val="00D9165B"/>
    <w:rsid w:val="00D95DE2"/>
    <w:rsid w:val="00D97136"/>
    <w:rsid w:val="00D97561"/>
    <w:rsid w:val="00DA170D"/>
    <w:rsid w:val="00DA58AC"/>
    <w:rsid w:val="00DA5FC3"/>
    <w:rsid w:val="00DA799F"/>
    <w:rsid w:val="00DB466C"/>
    <w:rsid w:val="00DB71A3"/>
    <w:rsid w:val="00DC1D5C"/>
    <w:rsid w:val="00DC5894"/>
    <w:rsid w:val="00DD54A8"/>
    <w:rsid w:val="00DD6EF3"/>
    <w:rsid w:val="00DD76AB"/>
    <w:rsid w:val="00DE6BF9"/>
    <w:rsid w:val="00DE7014"/>
    <w:rsid w:val="00E04AF4"/>
    <w:rsid w:val="00E1043D"/>
    <w:rsid w:val="00E24EC3"/>
    <w:rsid w:val="00E3067E"/>
    <w:rsid w:val="00E351C7"/>
    <w:rsid w:val="00E36A30"/>
    <w:rsid w:val="00E3777E"/>
    <w:rsid w:val="00E420ED"/>
    <w:rsid w:val="00E44736"/>
    <w:rsid w:val="00E44E05"/>
    <w:rsid w:val="00E45165"/>
    <w:rsid w:val="00E57852"/>
    <w:rsid w:val="00E60C98"/>
    <w:rsid w:val="00E62AB6"/>
    <w:rsid w:val="00E75D63"/>
    <w:rsid w:val="00E82E8E"/>
    <w:rsid w:val="00E83DC2"/>
    <w:rsid w:val="00E83F85"/>
    <w:rsid w:val="00E8400D"/>
    <w:rsid w:val="00E845C2"/>
    <w:rsid w:val="00EA1DC9"/>
    <w:rsid w:val="00EA379E"/>
    <w:rsid w:val="00EB2335"/>
    <w:rsid w:val="00EB500C"/>
    <w:rsid w:val="00EC05AA"/>
    <w:rsid w:val="00EC0944"/>
    <w:rsid w:val="00EC4ACA"/>
    <w:rsid w:val="00EC4CA2"/>
    <w:rsid w:val="00ED3B04"/>
    <w:rsid w:val="00ED3E20"/>
    <w:rsid w:val="00ED693D"/>
    <w:rsid w:val="00EE14F2"/>
    <w:rsid w:val="00EE5591"/>
    <w:rsid w:val="00EE6149"/>
    <w:rsid w:val="00F03D74"/>
    <w:rsid w:val="00F2086D"/>
    <w:rsid w:val="00F21573"/>
    <w:rsid w:val="00F31E80"/>
    <w:rsid w:val="00F32416"/>
    <w:rsid w:val="00F35E78"/>
    <w:rsid w:val="00F42857"/>
    <w:rsid w:val="00F45612"/>
    <w:rsid w:val="00F50BB0"/>
    <w:rsid w:val="00F520E5"/>
    <w:rsid w:val="00F54627"/>
    <w:rsid w:val="00F54F28"/>
    <w:rsid w:val="00F55887"/>
    <w:rsid w:val="00F72F83"/>
    <w:rsid w:val="00F73AB1"/>
    <w:rsid w:val="00F75081"/>
    <w:rsid w:val="00F76B0A"/>
    <w:rsid w:val="00F8600B"/>
    <w:rsid w:val="00F866D8"/>
    <w:rsid w:val="00F91EE5"/>
    <w:rsid w:val="00F9609F"/>
    <w:rsid w:val="00FA7FAA"/>
    <w:rsid w:val="00FB45AC"/>
    <w:rsid w:val="00FD1042"/>
    <w:rsid w:val="00FD1669"/>
    <w:rsid w:val="00FD2460"/>
    <w:rsid w:val="00FD7B33"/>
    <w:rsid w:val="00FE22E7"/>
    <w:rsid w:val="00FE7ED7"/>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C0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rFonts w:ascii="Times New Roman" w:hAnsi="Times New Roman"/>
      <w:sz w:val="24"/>
      <w:szCs w:val="24"/>
    </w:rPr>
  </w:style>
  <w:style w:type="character" w:styleId="Emphasis">
    <w:name w:val="Emphasis"/>
    <w:basedOn w:val="DefaultParagraphFont"/>
    <w:uiPriority w:val="20"/>
    <w:qFormat/>
    <w:rsid w:val="00D44D90"/>
    <w:rPr>
      <w:i/>
      <w:iCs/>
    </w:rPr>
  </w:style>
  <w:style w:type="paragraph" w:styleId="Revision">
    <w:name w:val="Revision"/>
    <w:hidden/>
    <w:uiPriority w:val="99"/>
    <w:semiHidden/>
    <w:rsid w:val="00142782"/>
    <w:pPr>
      <w:spacing w:after="0" w:line="240" w:lineRule="auto"/>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rFonts w:ascii="Times New Roman" w:hAnsi="Times New Roman"/>
      <w:sz w:val="24"/>
      <w:szCs w:val="24"/>
    </w:rPr>
  </w:style>
  <w:style w:type="character" w:styleId="Emphasis">
    <w:name w:val="Emphasis"/>
    <w:basedOn w:val="DefaultParagraphFont"/>
    <w:uiPriority w:val="20"/>
    <w:qFormat/>
    <w:rsid w:val="00D44D90"/>
    <w:rPr>
      <w:i/>
      <w:iCs/>
    </w:rPr>
  </w:style>
  <w:style w:type="paragraph" w:styleId="Revision">
    <w:name w:val="Revision"/>
    <w:hidden/>
    <w:uiPriority w:val="99"/>
    <w:semiHidden/>
    <w:rsid w:val="00142782"/>
    <w:pPr>
      <w:spacing w:after="0"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194A-E4F6-4CFD-8C52-8FD62907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9081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Fuehrmeyer</dc:creator>
  <cp:lastModifiedBy>Gayle Floresca</cp:lastModifiedBy>
  <cp:revision>2</cp:revision>
  <cp:lastPrinted>2016-11-02T12:28:00Z</cp:lastPrinted>
  <dcterms:created xsi:type="dcterms:W3CDTF">2016-11-09T19:42:00Z</dcterms:created>
  <dcterms:modified xsi:type="dcterms:W3CDTF">2016-11-09T19:42:00Z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