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6B2B3" w14:textId="7BA5B8CA" w:rsidR="00C07D21" w:rsidRPr="00775EBD" w:rsidRDefault="00972817" w:rsidP="00C07D21">
      <w:pPr>
        <w:spacing w:after="0" w:line="240" w:lineRule="auto"/>
        <w:rPr>
          <w:rFonts w:ascii="Times New Roman" w:hAnsi="Times New Roman"/>
        </w:rPr>
      </w:pPr>
      <w:bookmarkStart w:id="0" w:name="_GoBack"/>
      <w:bookmarkEnd w:id="0"/>
      <w:r>
        <w:rPr>
          <w:rFonts w:ascii="Times New Roman" w:hAnsi="Times New Roman"/>
        </w:rPr>
        <w:t xml:space="preserve">September </w:t>
      </w:r>
      <w:r w:rsidR="002179CB">
        <w:rPr>
          <w:rFonts w:ascii="Times New Roman" w:hAnsi="Times New Roman"/>
        </w:rPr>
        <w:t>30</w:t>
      </w:r>
      <w:r w:rsidR="00852838">
        <w:rPr>
          <w:rFonts w:ascii="Times New Roman" w:hAnsi="Times New Roman"/>
        </w:rPr>
        <w:t>, 2016</w:t>
      </w:r>
      <w:r w:rsidR="00634D65">
        <w:rPr>
          <w:rFonts w:ascii="Times New Roman" w:hAnsi="Times New Roman"/>
        </w:rPr>
        <w:t xml:space="preserve"> </w:t>
      </w:r>
    </w:p>
    <w:p w14:paraId="5C923DD7" w14:textId="77777777" w:rsidR="00C07D21" w:rsidRPr="00775EBD" w:rsidRDefault="00C07D21" w:rsidP="00C07D21">
      <w:pPr>
        <w:spacing w:after="0" w:line="240" w:lineRule="auto"/>
        <w:rPr>
          <w:rFonts w:ascii="Times New Roman" w:hAnsi="Times New Roman"/>
        </w:rPr>
      </w:pPr>
      <w:r w:rsidRPr="00775EBD">
        <w:rPr>
          <w:rFonts w:ascii="Times New Roman" w:hAnsi="Times New Roman"/>
        </w:rPr>
        <w:br/>
        <w:t>Technical Director</w:t>
      </w:r>
      <w:r w:rsidRPr="00775EBD">
        <w:rPr>
          <w:rFonts w:ascii="Times New Roman" w:hAnsi="Times New Roman"/>
        </w:rPr>
        <w:br/>
        <w:t>Financial Accounting Standards Board</w:t>
      </w:r>
      <w:r w:rsidRPr="00775EBD">
        <w:rPr>
          <w:rFonts w:ascii="Times New Roman" w:hAnsi="Times New Roman"/>
        </w:rPr>
        <w:br/>
        <w:t>401 Merritt 7, P.O. Box 5116</w:t>
      </w:r>
    </w:p>
    <w:p w14:paraId="715B3F83" w14:textId="77777777" w:rsidR="00C07D21" w:rsidRPr="00775EBD" w:rsidRDefault="00C07D21" w:rsidP="00C07D21">
      <w:pPr>
        <w:spacing w:after="0" w:line="240" w:lineRule="auto"/>
        <w:rPr>
          <w:rFonts w:ascii="Times New Roman" w:hAnsi="Times New Roman"/>
        </w:rPr>
      </w:pPr>
      <w:r w:rsidRPr="00775EBD">
        <w:rPr>
          <w:rFonts w:ascii="Times New Roman" w:hAnsi="Times New Roman"/>
        </w:rPr>
        <w:t>Norwalk, CT 06856-5116</w:t>
      </w:r>
    </w:p>
    <w:p w14:paraId="54A07FB2" w14:textId="77777777" w:rsidR="00C07D21" w:rsidRPr="00775EBD" w:rsidRDefault="00C07D21" w:rsidP="00C07D21">
      <w:pPr>
        <w:spacing w:after="0" w:line="240" w:lineRule="auto"/>
        <w:rPr>
          <w:rFonts w:ascii="Times New Roman" w:hAnsi="Times New Roman"/>
        </w:rPr>
      </w:pPr>
    </w:p>
    <w:p w14:paraId="2C4FBA4A" w14:textId="7102A4EC" w:rsidR="00C07D21" w:rsidRPr="00775EBD" w:rsidRDefault="00C07D21" w:rsidP="00D44D90">
      <w:pPr>
        <w:spacing w:after="0" w:line="240" w:lineRule="auto"/>
        <w:jc w:val="both"/>
        <w:rPr>
          <w:rFonts w:ascii="Times New Roman" w:hAnsi="Times New Roman"/>
        </w:rPr>
      </w:pPr>
      <w:r w:rsidRPr="00775EBD">
        <w:rPr>
          <w:rFonts w:ascii="Times New Roman" w:hAnsi="Times New Roman"/>
        </w:rPr>
        <w:t xml:space="preserve">File Reference </w:t>
      </w:r>
      <w:r w:rsidR="00806C94">
        <w:rPr>
          <w:rFonts w:ascii="Times New Roman" w:hAnsi="Times New Roman"/>
        </w:rPr>
        <w:t xml:space="preserve">No. </w:t>
      </w:r>
      <w:r w:rsidR="00972817">
        <w:rPr>
          <w:rFonts w:ascii="Times New Roman" w:hAnsi="Times New Roman"/>
        </w:rPr>
        <w:t>2016-270</w:t>
      </w:r>
    </w:p>
    <w:p w14:paraId="09AA6E92" w14:textId="77777777" w:rsidR="00C07D21" w:rsidRPr="00775EBD" w:rsidRDefault="00C07D21" w:rsidP="00D44D90">
      <w:pPr>
        <w:spacing w:after="0" w:line="240" w:lineRule="auto"/>
        <w:jc w:val="both"/>
        <w:rPr>
          <w:rFonts w:ascii="Times New Roman" w:hAnsi="Times New Roman"/>
        </w:rPr>
      </w:pPr>
    </w:p>
    <w:p w14:paraId="6A6087AA" w14:textId="1FAF193E" w:rsidR="00FA7FAA" w:rsidRDefault="00FA7FAA" w:rsidP="00D44D90">
      <w:pPr>
        <w:spacing w:after="0" w:line="240" w:lineRule="auto"/>
        <w:jc w:val="both"/>
        <w:rPr>
          <w:rFonts w:ascii="Times New Roman" w:hAnsi="Times New Roman"/>
        </w:rPr>
      </w:pPr>
      <w:r>
        <w:rPr>
          <w:rFonts w:ascii="Times New Roman" w:hAnsi="Times New Roman"/>
        </w:rPr>
        <w:t xml:space="preserve">The Accounting Principles Committee of the Illinois CPA Society (Committee) appreciates the opportunity to provide its perspective on the </w:t>
      </w:r>
      <w:r w:rsidR="00D44D90" w:rsidRPr="00D44D90">
        <w:rPr>
          <w:rFonts w:ascii="Times New Roman" w:hAnsi="Times New Roman"/>
        </w:rPr>
        <w:t>Proposed Accounting Standards Update</w:t>
      </w:r>
      <w:r w:rsidR="000B30A1">
        <w:rPr>
          <w:rFonts w:ascii="Times New Roman" w:hAnsi="Times New Roman"/>
        </w:rPr>
        <w:t>–</w:t>
      </w:r>
      <w:r w:rsidR="00972817">
        <w:rPr>
          <w:rFonts w:ascii="Times New Roman" w:hAnsi="Times New Roman"/>
          <w:i/>
          <w:iCs/>
        </w:rPr>
        <w:t>Disclosure Framework</w:t>
      </w:r>
      <w:r w:rsidR="00806C94">
        <w:rPr>
          <w:rFonts w:ascii="Times New Roman" w:hAnsi="Times New Roman"/>
          <w:i/>
          <w:iCs/>
        </w:rPr>
        <w:t xml:space="preserve">: </w:t>
      </w:r>
      <w:r w:rsidR="000B30A1">
        <w:rPr>
          <w:rFonts w:ascii="Times New Roman" w:hAnsi="Times New Roman"/>
          <w:i/>
          <w:iCs/>
        </w:rPr>
        <w:t>Changes to the Disclosure Requirements for Income Taxes</w:t>
      </w:r>
      <w:r>
        <w:rPr>
          <w:rFonts w:ascii="Times New Roman" w:hAnsi="Times New Roman"/>
        </w:rPr>
        <w:t>. The Committee is a voluntary group of CPAs from public practice, industry and education. Our comments represent the collective views of the Committee members and not the individual views of the members or the organizations w</w:t>
      </w:r>
      <w:r w:rsidR="00AF5D54">
        <w:rPr>
          <w:rFonts w:ascii="Times New Roman" w:hAnsi="Times New Roman"/>
        </w:rPr>
        <w:t xml:space="preserve">ith which they are affiliated. </w:t>
      </w:r>
      <w:r>
        <w:rPr>
          <w:rFonts w:ascii="Times New Roman" w:hAnsi="Times New Roman"/>
        </w:rPr>
        <w:t>The organization and operating procedures of the Committee are outlined in Appendix A to this letter.</w:t>
      </w:r>
    </w:p>
    <w:p w14:paraId="1441808B" w14:textId="77777777" w:rsidR="00D44D90" w:rsidRDefault="00D44D90" w:rsidP="00D44D90">
      <w:pPr>
        <w:spacing w:after="0" w:line="240" w:lineRule="auto"/>
        <w:jc w:val="both"/>
        <w:rPr>
          <w:rFonts w:ascii="Times New Roman" w:hAnsi="Times New Roman"/>
        </w:rPr>
      </w:pPr>
    </w:p>
    <w:p w14:paraId="30D6679B" w14:textId="4D943C49" w:rsidR="00AB6C1D" w:rsidRPr="002D5DB1" w:rsidRDefault="00852838" w:rsidP="00041775">
      <w:pPr>
        <w:spacing w:line="240" w:lineRule="auto"/>
        <w:jc w:val="both"/>
        <w:rPr>
          <w:rFonts w:ascii="Times New Roman" w:hAnsi="Times New Roman"/>
        </w:rPr>
      </w:pPr>
      <w:r>
        <w:rPr>
          <w:rFonts w:ascii="Times New Roman" w:hAnsi="Times New Roman"/>
        </w:rPr>
        <w:t>W</w:t>
      </w:r>
      <w:r w:rsidR="002C22EC" w:rsidRPr="008C45C6">
        <w:rPr>
          <w:rFonts w:ascii="Times New Roman" w:hAnsi="Times New Roman"/>
        </w:rPr>
        <w:t xml:space="preserve">e </w:t>
      </w:r>
      <w:r w:rsidR="00D44D90" w:rsidRPr="008C45C6">
        <w:rPr>
          <w:rFonts w:ascii="Times New Roman" w:hAnsi="Times New Roman"/>
        </w:rPr>
        <w:t>are supportive of the Board’s</w:t>
      </w:r>
      <w:r w:rsidR="000D728D" w:rsidRPr="008C45C6">
        <w:rPr>
          <w:rFonts w:ascii="Times New Roman" w:hAnsi="Times New Roman"/>
        </w:rPr>
        <w:t xml:space="preserve"> efforts to</w:t>
      </w:r>
      <w:r w:rsidR="00AB6C1D">
        <w:rPr>
          <w:rFonts w:ascii="Times New Roman" w:hAnsi="Times New Roman"/>
        </w:rPr>
        <w:t xml:space="preserve"> test the guidance in the proposed FASB Concepts Statement, </w:t>
      </w:r>
      <w:r w:rsidR="00AB6C1D" w:rsidRPr="00AB6C1D">
        <w:rPr>
          <w:rFonts w:ascii="Times New Roman" w:hAnsi="Times New Roman"/>
          <w:i/>
        </w:rPr>
        <w:t>Conceptual Framewo</w:t>
      </w:r>
      <w:r w:rsidR="00AB6C1D">
        <w:rPr>
          <w:rFonts w:ascii="Times New Roman" w:hAnsi="Times New Roman"/>
          <w:i/>
        </w:rPr>
        <w:t>r</w:t>
      </w:r>
      <w:r w:rsidR="00AB6C1D" w:rsidRPr="00AB6C1D">
        <w:rPr>
          <w:rFonts w:ascii="Times New Roman" w:hAnsi="Times New Roman"/>
          <w:i/>
        </w:rPr>
        <w:t>k for Financial Reporting–Chapter 8</w:t>
      </w:r>
      <w:r w:rsidR="00AB6C1D">
        <w:rPr>
          <w:rFonts w:ascii="Times New Roman" w:hAnsi="Times New Roman"/>
          <w:i/>
        </w:rPr>
        <w:t>: Notes to Financial Statements</w:t>
      </w:r>
      <w:r w:rsidR="002D5DB1" w:rsidRPr="002D5DB1">
        <w:rPr>
          <w:rFonts w:ascii="Times New Roman" w:hAnsi="Times New Roman"/>
        </w:rPr>
        <w:t>,</w:t>
      </w:r>
      <w:r w:rsidR="00AB6C1D">
        <w:rPr>
          <w:rFonts w:ascii="Times New Roman" w:hAnsi="Times New Roman"/>
        </w:rPr>
        <w:t xml:space="preserve"> and to consider the guidance for assessing materiality included in proposed Accounting Standards </w:t>
      </w:r>
      <w:r w:rsidR="002D5DB1">
        <w:rPr>
          <w:rFonts w:ascii="Times New Roman" w:hAnsi="Times New Roman"/>
        </w:rPr>
        <w:t>U</w:t>
      </w:r>
      <w:r w:rsidR="00AB6C1D">
        <w:rPr>
          <w:rFonts w:ascii="Times New Roman" w:hAnsi="Times New Roman"/>
        </w:rPr>
        <w:t xml:space="preserve">pdate, </w:t>
      </w:r>
      <w:r w:rsidR="00AB6C1D" w:rsidRPr="002D5DB1">
        <w:rPr>
          <w:rFonts w:ascii="Times New Roman" w:hAnsi="Times New Roman"/>
          <w:i/>
        </w:rPr>
        <w:t>Notes to Financial Sta</w:t>
      </w:r>
      <w:r w:rsidR="002D5DB1" w:rsidRPr="002D5DB1">
        <w:rPr>
          <w:rFonts w:ascii="Times New Roman" w:hAnsi="Times New Roman"/>
          <w:i/>
        </w:rPr>
        <w:t>t</w:t>
      </w:r>
      <w:r w:rsidR="00AB6C1D" w:rsidRPr="002D5DB1">
        <w:rPr>
          <w:rFonts w:ascii="Times New Roman" w:hAnsi="Times New Roman"/>
          <w:i/>
        </w:rPr>
        <w:t>ements (Topic</w:t>
      </w:r>
      <w:r w:rsidR="002D5DB1">
        <w:rPr>
          <w:rFonts w:ascii="Times New Roman" w:hAnsi="Times New Roman"/>
          <w:i/>
        </w:rPr>
        <w:t xml:space="preserve"> 235):  Assessing Whether Discl</w:t>
      </w:r>
      <w:r w:rsidR="00AB6C1D" w:rsidRPr="002D5DB1">
        <w:rPr>
          <w:rFonts w:ascii="Times New Roman" w:hAnsi="Times New Roman"/>
          <w:i/>
        </w:rPr>
        <w:t>o</w:t>
      </w:r>
      <w:r w:rsidR="002D5DB1" w:rsidRPr="002D5DB1">
        <w:rPr>
          <w:rFonts w:ascii="Times New Roman" w:hAnsi="Times New Roman"/>
          <w:i/>
        </w:rPr>
        <w:t>sur</w:t>
      </w:r>
      <w:r w:rsidR="00AB6C1D" w:rsidRPr="002D5DB1">
        <w:rPr>
          <w:rFonts w:ascii="Times New Roman" w:hAnsi="Times New Roman"/>
          <w:i/>
        </w:rPr>
        <w:t>es are Material</w:t>
      </w:r>
      <w:r w:rsidR="002D5DB1">
        <w:rPr>
          <w:rFonts w:ascii="Times New Roman" w:hAnsi="Times New Roman"/>
        </w:rPr>
        <w:t>.</w:t>
      </w:r>
    </w:p>
    <w:p w14:paraId="43C191DD" w14:textId="215A0DD0" w:rsidR="009300EF" w:rsidRDefault="009300EF" w:rsidP="00041775">
      <w:pPr>
        <w:spacing w:line="240" w:lineRule="auto"/>
        <w:jc w:val="both"/>
        <w:rPr>
          <w:rFonts w:ascii="Times New Roman" w:hAnsi="Times New Roman"/>
        </w:rPr>
      </w:pPr>
      <w:r>
        <w:rPr>
          <w:rFonts w:ascii="Times New Roman" w:hAnsi="Times New Roman"/>
        </w:rPr>
        <w:t>In addition to our comments below</w:t>
      </w:r>
      <w:r w:rsidR="00FD1669">
        <w:rPr>
          <w:rFonts w:ascii="Times New Roman" w:hAnsi="Times New Roman"/>
        </w:rPr>
        <w:t xml:space="preserve"> in response to the proposal’s Questions</w:t>
      </w:r>
      <w:r>
        <w:rPr>
          <w:rFonts w:ascii="Times New Roman" w:hAnsi="Times New Roman"/>
        </w:rPr>
        <w:t>, we believe</w:t>
      </w:r>
      <w:r w:rsidR="00F21573">
        <w:rPr>
          <w:rFonts w:ascii="Times New Roman" w:hAnsi="Times New Roman"/>
        </w:rPr>
        <w:t xml:space="preserve"> clarifying that required disclosures </w:t>
      </w:r>
      <w:r w:rsidR="006E3558">
        <w:rPr>
          <w:rFonts w:ascii="Times New Roman" w:hAnsi="Times New Roman"/>
        </w:rPr>
        <w:t>may be excluded</w:t>
      </w:r>
      <w:r w:rsidR="00F21573">
        <w:rPr>
          <w:rFonts w:ascii="Times New Roman" w:hAnsi="Times New Roman"/>
        </w:rPr>
        <w:t xml:space="preserve"> if they </w:t>
      </w:r>
      <w:r w:rsidR="006E3558">
        <w:rPr>
          <w:rFonts w:ascii="Times New Roman" w:hAnsi="Times New Roman"/>
        </w:rPr>
        <w:t xml:space="preserve">are </w:t>
      </w:r>
      <w:r w:rsidR="00F21573">
        <w:rPr>
          <w:rFonts w:ascii="Times New Roman" w:hAnsi="Times New Roman"/>
        </w:rPr>
        <w:t xml:space="preserve">immaterial </w:t>
      </w:r>
      <w:r w:rsidR="006E3558">
        <w:rPr>
          <w:rFonts w:ascii="Times New Roman" w:hAnsi="Times New Roman"/>
        </w:rPr>
        <w:t>supports the efforts of reporting entities</w:t>
      </w:r>
      <w:r w:rsidR="00F21573">
        <w:rPr>
          <w:rFonts w:ascii="Times New Roman" w:hAnsi="Times New Roman"/>
        </w:rPr>
        <w:t xml:space="preserve"> to focus disclosures on decision-useful information. Further,</w:t>
      </w:r>
      <w:r w:rsidR="006E3558">
        <w:rPr>
          <w:rFonts w:ascii="Times New Roman" w:hAnsi="Times New Roman"/>
        </w:rPr>
        <w:t xml:space="preserve"> it validates a practice already followed by many financial statement preparers.</w:t>
      </w:r>
    </w:p>
    <w:p w14:paraId="727B7FCE" w14:textId="11743F5E" w:rsidR="00775E61" w:rsidRDefault="00775E61" w:rsidP="00041775">
      <w:pPr>
        <w:spacing w:line="240" w:lineRule="auto"/>
        <w:jc w:val="both"/>
        <w:rPr>
          <w:rFonts w:ascii="Times New Roman" w:hAnsi="Times New Roman"/>
        </w:rPr>
      </w:pPr>
      <w:r>
        <w:rPr>
          <w:rFonts w:ascii="Times New Roman" w:hAnsi="Times New Roman"/>
        </w:rPr>
        <w:t xml:space="preserve">We also support the Board’s efforts to </w:t>
      </w:r>
      <w:r w:rsidR="00783105">
        <w:rPr>
          <w:rFonts w:ascii="Times New Roman" w:hAnsi="Times New Roman"/>
        </w:rPr>
        <w:t>continue to standardize the public entity definition by replacing the existing ASC 740 definition with the Master Glossary “public business entity” def</w:t>
      </w:r>
      <w:r w:rsidR="00AF5D54">
        <w:rPr>
          <w:rFonts w:ascii="Times New Roman" w:hAnsi="Times New Roman"/>
        </w:rPr>
        <w:t xml:space="preserve">inition. </w:t>
      </w:r>
      <w:r w:rsidR="00783105">
        <w:rPr>
          <w:rFonts w:ascii="Times New Roman" w:hAnsi="Times New Roman"/>
        </w:rPr>
        <w:t>Having multiple defi</w:t>
      </w:r>
      <w:r w:rsidR="008F5C78">
        <w:rPr>
          <w:rFonts w:ascii="Times New Roman" w:hAnsi="Times New Roman"/>
        </w:rPr>
        <w:t>ni</w:t>
      </w:r>
      <w:r w:rsidR="00783105">
        <w:rPr>
          <w:rFonts w:ascii="Times New Roman" w:hAnsi="Times New Roman"/>
        </w:rPr>
        <w:t>tions for public entities within the ASC is an unnecessary source of confusion.</w:t>
      </w:r>
    </w:p>
    <w:p w14:paraId="6E897DD0" w14:textId="18631E7E" w:rsidR="00CD4125" w:rsidRDefault="00CD4125" w:rsidP="00041775">
      <w:pPr>
        <w:spacing w:line="240" w:lineRule="auto"/>
        <w:jc w:val="both"/>
        <w:rPr>
          <w:rFonts w:ascii="Times New Roman" w:hAnsi="Times New Roman"/>
        </w:rPr>
      </w:pPr>
      <w:r>
        <w:rPr>
          <w:rFonts w:ascii="Times New Roman" w:hAnsi="Times New Roman"/>
        </w:rPr>
        <w:t>Finally, we agree with the remark in paragraph BC92 that the rate reconciliation is one of the most useful disclosures about income taxes and should be retained</w:t>
      </w:r>
      <w:r w:rsidR="007A755E">
        <w:rPr>
          <w:rFonts w:ascii="Times New Roman" w:hAnsi="Times New Roman"/>
        </w:rPr>
        <w:t xml:space="preserve"> for public business entities</w:t>
      </w:r>
      <w:r>
        <w:rPr>
          <w:rFonts w:ascii="Times New Roman" w:hAnsi="Times New Roman"/>
        </w:rPr>
        <w:t xml:space="preserve">. We further support </w:t>
      </w:r>
      <w:r w:rsidR="007A755E">
        <w:rPr>
          <w:rFonts w:ascii="Times New Roman" w:hAnsi="Times New Roman"/>
        </w:rPr>
        <w:t xml:space="preserve">the Board’s decision to </w:t>
      </w:r>
      <w:r w:rsidR="004F0E20">
        <w:rPr>
          <w:rFonts w:ascii="Times New Roman" w:hAnsi="Times New Roman"/>
        </w:rPr>
        <w:t>select a</w:t>
      </w:r>
      <w:r w:rsidR="007A755E">
        <w:rPr>
          <w:rFonts w:ascii="Times New Roman" w:hAnsi="Times New Roman"/>
        </w:rPr>
        <w:t xml:space="preserve"> </w:t>
      </w:r>
      <w:r w:rsidR="00D95DE2">
        <w:rPr>
          <w:rFonts w:ascii="Times New Roman" w:hAnsi="Times New Roman"/>
        </w:rPr>
        <w:t xml:space="preserve">threshold for presenting reconciling items </w:t>
      </w:r>
      <w:r w:rsidR="004F0E20">
        <w:rPr>
          <w:rFonts w:ascii="Times New Roman" w:hAnsi="Times New Roman"/>
        </w:rPr>
        <w:t xml:space="preserve">that is consistent </w:t>
      </w:r>
      <w:r>
        <w:rPr>
          <w:rFonts w:ascii="Times New Roman" w:hAnsi="Times New Roman"/>
        </w:rPr>
        <w:t>with the existing requirement in SEC Regulation S-X 210.4-08(h)(2)</w:t>
      </w:r>
      <w:r w:rsidR="00D95DE2">
        <w:rPr>
          <w:rFonts w:ascii="Times New Roman" w:hAnsi="Times New Roman"/>
        </w:rPr>
        <w:t>,</w:t>
      </w:r>
      <w:r>
        <w:rPr>
          <w:rFonts w:ascii="Times New Roman" w:hAnsi="Times New Roman"/>
        </w:rPr>
        <w:t xml:space="preserve"> </w:t>
      </w:r>
      <w:r w:rsidR="004F0E20">
        <w:rPr>
          <w:rFonts w:ascii="Times New Roman" w:hAnsi="Times New Roman"/>
        </w:rPr>
        <w:t>thereby avoiding unnecessary incremental costs</w:t>
      </w:r>
      <w:r w:rsidR="00D95DE2">
        <w:rPr>
          <w:rFonts w:ascii="Times New Roman" w:hAnsi="Times New Roman"/>
        </w:rPr>
        <w:t xml:space="preserve"> for the public business entities </w:t>
      </w:r>
      <w:r w:rsidR="004F0E20">
        <w:rPr>
          <w:rFonts w:ascii="Times New Roman" w:hAnsi="Times New Roman"/>
        </w:rPr>
        <w:t xml:space="preserve">that must provide the rate </w:t>
      </w:r>
      <w:r w:rsidR="00D95DE2">
        <w:rPr>
          <w:rFonts w:ascii="Times New Roman" w:hAnsi="Times New Roman"/>
        </w:rPr>
        <w:t>reconciliation</w:t>
      </w:r>
      <w:r>
        <w:rPr>
          <w:rFonts w:ascii="Times New Roman" w:hAnsi="Times New Roman"/>
        </w:rPr>
        <w:t>.</w:t>
      </w:r>
    </w:p>
    <w:p w14:paraId="2FED0AAC" w14:textId="4C17AD10" w:rsidR="00D44D90" w:rsidRPr="008C45C6" w:rsidRDefault="008806F3" w:rsidP="00041775">
      <w:pPr>
        <w:spacing w:line="240" w:lineRule="auto"/>
        <w:jc w:val="both"/>
        <w:rPr>
          <w:rFonts w:ascii="Times New Roman" w:hAnsi="Times New Roman"/>
        </w:rPr>
      </w:pPr>
      <w:r>
        <w:rPr>
          <w:rFonts w:ascii="Times New Roman" w:hAnsi="Times New Roman"/>
        </w:rPr>
        <w:t xml:space="preserve">Following are </w:t>
      </w:r>
      <w:r w:rsidR="00685277">
        <w:rPr>
          <w:rFonts w:ascii="Times New Roman" w:hAnsi="Times New Roman"/>
        </w:rPr>
        <w:t>o</w:t>
      </w:r>
      <w:r w:rsidR="000D728D" w:rsidRPr="008C45C6">
        <w:rPr>
          <w:rFonts w:ascii="Times New Roman" w:hAnsi="Times New Roman"/>
        </w:rPr>
        <w:t xml:space="preserve">ur responses to the proposal’s </w:t>
      </w:r>
      <w:r w:rsidR="00685277">
        <w:rPr>
          <w:rFonts w:ascii="Times New Roman" w:hAnsi="Times New Roman"/>
        </w:rPr>
        <w:t>Questions for Respondents</w:t>
      </w:r>
      <w:r w:rsidR="000D728D" w:rsidRPr="008C45C6">
        <w:rPr>
          <w:rFonts w:ascii="Times New Roman" w:hAnsi="Times New Roman"/>
        </w:rPr>
        <w:t>.</w:t>
      </w:r>
      <w:r w:rsidR="00D44D90" w:rsidRPr="008C45C6">
        <w:rPr>
          <w:rFonts w:ascii="Times New Roman" w:hAnsi="Times New Roman"/>
        </w:rPr>
        <w:t xml:space="preserve">  </w:t>
      </w:r>
    </w:p>
    <w:p w14:paraId="47808871" w14:textId="77A680D1" w:rsidR="00D44D90" w:rsidRPr="00D44D90" w:rsidRDefault="008B55DE" w:rsidP="00D44D90">
      <w:pPr>
        <w:pStyle w:val="ListParagraph"/>
        <w:numPr>
          <w:ilvl w:val="0"/>
          <w:numId w:val="3"/>
        </w:numPr>
        <w:jc w:val="both"/>
        <w:rPr>
          <w:i/>
          <w:sz w:val="22"/>
          <w:szCs w:val="22"/>
        </w:rPr>
      </w:pPr>
      <w:r>
        <w:rPr>
          <w:i/>
          <w:sz w:val="22"/>
          <w:szCs w:val="22"/>
        </w:rPr>
        <w:t>Would the proposed amendments result in more effective, decision-useful information about income taxes? Please explain why or why not. Would the proposed amendments resu</w:t>
      </w:r>
      <w:r w:rsidR="0085755F">
        <w:rPr>
          <w:i/>
          <w:sz w:val="22"/>
          <w:szCs w:val="22"/>
        </w:rPr>
        <w:t>lt</w:t>
      </w:r>
      <w:r>
        <w:rPr>
          <w:i/>
          <w:sz w:val="22"/>
          <w:szCs w:val="22"/>
        </w:rPr>
        <w:t xml:space="preserve"> in the elimination of decision-useful </w:t>
      </w:r>
      <w:r w:rsidR="00EE6149">
        <w:rPr>
          <w:i/>
          <w:sz w:val="22"/>
          <w:szCs w:val="22"/>
        </w:rPr>
        <w:t xml:space="preserve">information about income taxes? </w:t>
      </w:r>
      <w:r>
        <w:rPr>
          <w:i/>
          <w:sz w:val="22"/>
          <w:szCs w:val="22"/>
        </w:rPr>
        <w:t>If yes, please explain why.</w:t>
      </w:r>
      <w:r w:rsidR="008806F3">
        <w:rPr>
          <w:i/>
          <w:sz w:val="22"/>
          <w:szCs w:val="22"/>
        </w:rPr>
        <w:t xml:space="preserve"> </w:t>
      </w:r>
    </w:p>
    <w:p w14:paraId="28FF32C4" w14:textId="77777777" w:rsidR="00D44D90" w:rsidRDefault="00D44D90" w:rsidP="00E845C2">
      <w:pPr>
        <w:pStyle w:val="ListParagraph"/>
        <w:rPr>
          <w:sz w:val="22"/>
          <w:szCs w:val="22"/>
        </w:rPr>
      </w:pPr>
    </w:p>
    <w:p w14:paraId="095FF518" w14:textId="67539A15" w:rsidR="001B6B1A" w:rsidRDefault="00AF5D54" w:rsidP="001D50EB">
      <w:pPr>
        <w:ind w:left="720"/>
        <w:jc w:val="both"/>
        <w:rPr>
          <w:rFonts w:ascii="Times New Roman" w:hAnsi="Times New Roman"/>
        </w:rPr>
      </w:pPr>
      <w:r>
        <w:rPr>
          <w:rFonts w:ascii="Times New Roman" w:hAnsi="Times New Roman"/>
        </w:rPr>
        <w:t xml:space="preserve">We believe the proposed </w:t>
      </w:r>
      <w:r w:rsidR="0076093B">
        <w:rPr>
          <w:rFonts w:ascii="Times New Roman" w:hAnsi="Times New Roman"/>
        </w:rPr>
        <w:t xml:space="preserve">amendments </w:t>
      </w:r>
      <w:r>
        <w:rPr>
          <w:rFonts w:ascii="Times New Roman" w:hAnsi="Times New Roman"/>
        </w:rPr>
        <w:t xml:space="preserve">would add or enhance, and not eliminate, </w:t>
      </w:r>
      <w:r w:rsidR="0076093B">
        <w:rPr>
          <w:rFonts w:ascii="Times New Roman" w:hAnsi="Times New Roman"/>
        </w:rPr>
        <w:t>decision</w:t>
      </w:r>
      <w:r>
        <w:rPr>
          <w:rFonts w:ascii="Times New Roman" w:hAnsi="Times New Roman"/>
        </w:rPr>
        <w:t>-</w:t>
      </w:r>
      <w:r w:rsidR="0076093B">
        <w:rPr>
          <w:rFonts w:ascii="Times New Roman" w:hAnsi="Times New Roman"/>
        </w:rPr>
        <w:t xml:space="preserve">useful information. In particular, the proposed disclosures pertaining to domestic and foreign income taxes </w:t>
      </w:r>
      <w:r>
        <w:rPr>
          <w:rFonts w:ascii="Times New Roman" w:hAnsi="Times New Roman"/>
        </w:rPr>
        <w:t>would add</w:t>
      </w:r>
      <w:r w:rsidR="0076093B">
        <w:rPr>
          <w:rFonts w:ascii="Times New Roman" w:hAnsi="Times New Roman"/>
        </w:rPr>
        <w:t xml:space="preserve"> needed transparency without undue cost, and the </w:t>
      </w:r>
      <w:r w:rsidR="00C71132">
        <w:rPr>
          <w:rFonts w:ascii="Times New Roman" w:hAnsi="Times New Roman"/>
        </w:rPr>
        <w:t>proposed disclosure of g</w:t>
      </w:r>
      <w:r w:rsidR="00D53065">
        <w:rPr>
          <w:rFonts w:ascii="Times New Roman" w:hAnsi="Times New Roman"/>
        </w:rPr>
        <w:t xml:space="preserve">overnment assistance </w:t>
      </w:r>
      <w:r w:rsidR="00C71132">
        <w:rPr>
          <w:rFonts w:ascii="Times New Roman" w:hAnsi="Times New Roman"/>
        </w:rPr>
        <w:t xml:space="preserve">agreements </w:t>
      </w:r>
      <w:r w:rsidR="00D53065">
        <w:rPr>
          <w:rFonts w:ascii="Times New Roman" w:hAnsi="Times New Roman"/>
        </w:rPr>
        <w:t xml:space="preserve">would </w:t>
      </w:r>
      <w:r w:rsidR="00C71132">
        <w:rPr>
          <w:rFonts w:ascii="Times New Roman" w:hAnsi="Times New Roman"/>
        </w:rPr>
        <w:t xml:space="preserve">enable </w:t>
      </w:r>
      <w:r w:rsidR="00D53065">
        <w:rPr>
          <w:rFonts w:ascii="Times New Roman" w:hAnsi="Times New Roman"/>
        </w:rPr>
        <w:t>financial statement users</w:t>
      </w:r>
      <w:r w:rsidR="00C71132">
        <w:rPr>
          <w:rFonts w:ascii="Times New Roman" w:hAnsi="Times New Roman"/>
        </w:rPr>
        <w:t xml:space="preserve"> to better </w:t>
      </w:r>
      <w:r w:rsidR="0076093B">
        <w:rPr>
          <w:rFonts w:ascii="Times New Roman" w:hAnsi="Times New Roman"/>
        </w:rPr>
        <w:t>assess</w:t>
      </w:r>
      <w:r w:rsidR="00C71132">
        <w:rPr>
          <w:rFonts w:ascii="Times New Roman" w:hAnsi="Times New Roman"/>
        </w:rPr>
        <w:t xml:space="preserve"> </w:t>
      </w:r>
      <w:r w:rsidR="00D53065">
        <w:rPr>
          <w:rFonts w:ascii="Times New Roman" w:hAnsi="Times New Roman"/>
        </w:rPr>
        <w:t>future cash flow</w:t>
      </w:r>
      <w:r w:rsidR="00C71132">
        <w:rPr>
          <w:rFonts w:ascii="Times New Roman" w:hAnsi="Times New Roman"/>
        </w:rPr>
        <w:t>s</w:t>
      </w:r>
      <w:r w:rsidR="00D53065">
        <w:rPr>
          <w:rFonts w:ascii="Times New Roman" w:hAnsi="Times New Roman"/>
        </w:rPr>
        <w:t xml:space="preserve">. </w:t>
      </w:r>
    </w:p>
    <w:p w14:paraId="20469B29" w14:textId="1D28DCA8" w:rsidR="009538E7" w:rsidRDefault="0085755F" w:rsidP="0034247D">
      <w:pPr>
        <w:pStyle w:val="ListParagraph"/>
        <w:numPr>
          <w:ilvl w:val="0"/>
          <w:numId w:val="3"/>
        </w:numPr>
        <w:jc w:val="both"/>
        <w:rPr>
          <w:i/>
          <w:sz w:val="22"/>
          <w:szCs w:val="22"/>
        </w:rPr>
      </w:pPr>
      <w:r>
        <w:rPr>
          <w:i/>
          <w:sz w:val="22"/>
          <w:szCs w:val="22"/>
        </w:rPr>
        <w:t>Are the proposed disclosure requirements operable and auditable? If not, which aspects pose operability or auditability issues and why?</w:t>
      </w:r>
    </w:p>
    <w:p w14:paraId="4FBB251F" w14:textId="77777777" w:rsidR="0034247D" w:rsidRDefault="0034247D" w:rsidP="0034247D">
      <w:pPr>
        <w:pStyle w:val="ListParagraph"/>
        <w:jc w:val="both"/>
        <w:rPr>
          <w:i/>
          <w:sz w:val="22"/>
          <w:szCs w:val="22"/>
        </w:rPr>
      </w:pPr>
    </w:p>
    <w:p w14:paraId="5386099C" w14:textId="65ADB353" w:rsidR="00124731" w:rsidRDefault="00D549A4" w:rsidP="008806F3">
      <w:pPr>
        <w:ind w:left="720"/>
        <w:jc w:val="both"/>
        <w:rPr>
          <w:i/>
        </w:rPr>
      </w:pPr>
      <w:r>
        <w:rPr>
          <w:rFonts w:ascii="Times New Roman" w:hAnsi="Times New Roman"/>
        </w:rPr>
        <w:lastRenderedPageBreak/>
        <w:t>Yes.</w:t>
      </w:r>
    </w:p>
    <w:p w14:paraId="7D959AA4" w14:textId="238A2826" w:rsidR="000D728D" w:rsidRPr="001B6B1A" w:rsidRDefault="0085755F" w:rsidP="000D728D">
      <w:pPr>
        <w:pStyle w:val="ListParagraph"/>
        <w:numPr>
          <w:ilvl w:val="0"/>
          <w:numId w:val="3"/>
        </w:numPr>
        <w:jc w:val="both"/>
        <w:rPr>
          <w:i/>
          <w:sz w:val="22"/>
          <w:szCs w:val="22"/>
        </w:rPr>
      </w:pPr>
      <w:r>
        <w:rPr>
          <w:i/>
          <w:sz w:val="22"/>
          <w:szCs w:val="22"/>
        </w:rPr>
        <w:t>Would any of the proposed disclosures impose significant incremental costs?</w:t>
      </w:r>
      <w:r w:rsidR="00F21573">
        <w:rPr>
          <w:i/>
          <w:sz w:val="22"/>
          <w:szCs w:val="22"/>
        </w:rPr>
        <w:t xml:space="preserve"> </w:t>
      </w:r>
      <w:r>
        <w:rPr>
          <w:i/>
          <w:sz w:val="22"/>
          <w:szCs w:val="22"/>
        </w:rPr>
        <w:t>If so, please describe the nature and extent of the additional costs.</w:t>
      </w:r>
    </w:p>
    <w:p w14:paraId="10530415" w14:textId="77777777" w:rsidR="00D9165B" w:rsidRDefault="00D9165B" w:rsidP="001B6B1A">
      <w:pPr>
        <w:pStyle w:val="ListParagraph"/>
      </w:pPr>
    </w:p>
    <w:p w14:paraId="2657DCE7" w14:textId="69003A86" w:rsidR="00EB500C" w:rsidRDefault="00CF120E" w:rsidP="00EB500C">
      <w:pPr>
        <w:ind w:left="720"/>
        <w:jc w:val="both"/>
        <w:rPr>
          <w:rFonts w:ascii="Times New Roman" w:hAnsi="Times New Roman"/>
        </w:rPr>
      </w:pPr>
      <w:r>
        <w:rPr>
          <w:rFonts w:ascii="Times New Roman" w:hAnsi="Times New Roman"/>
        </w:rPr>
        <w:t>No.</w:t>
      </w:r>
    </w:p>
    <w:p w14:paraId="34C4BB29" w14:textId="15E47655" w:rsidR="00313FA0" w:rsidRPr="005403FE" w:rsidRDefault="0085755F" w:rsidP="00313FA0">
      <w:pPr>
        <w:pStyle w:val="ListParagraph"/>
        <w:numPr>
          <w:ilvl w:val="0"/>
          <w:numId w:val="3"/>
        </w:numPr>
        <w:jc w:val="both"/>
        <w:rPr>
          <w:i/>
          <w:sz w:val="22"/>
          <w:szCs w:val="22"/>
        </w:rPr>
      </w:pPr>
      <w:r>
        <w:rPr>
          <w:i/>
          <w:sz w:val="22"/>
          <w:szCs w:val="22"/>
        </w:rPr>
        <w:t>T</w:t>
      </w:r>
      <w:r w:rsidR="00AF5D54">
        <w:rPr>
          <w:i/>
          <w:sz w:val="22"/>
          <w:szCs w:val="22"/>
        </w:rPr>
        <w:t>he</w:t>
      </w:r>
      <w:r>
        <w:rPr>
          <w:i/>
          <w:sz w:val="22"/>
          <w:szCs w:val="22"/>
        </w:rPr>
        <w:t xml:space="preserve"> Board is proposing that reporting entities disclose income taxes paid for any foreign country that is significant to total income taxes paid. The Board also considered requiring disclosure by significant country of income (or loss) from continuing operations before income tax expense (or benefit) and income tax expense (or benefit) from continuing operations but decided that this disclosure would be costly and potentially not beneficial in assessing prospects for cash flows </w:t>
      </w:r>
      <w:r w:rsidR="00AF5D54">
        <w:rPr>
          <w:i/>
          <w:sz w:val="22"/>
          <w:szCs w:val="22"/>
        </w:rPr>
        <w:t xml:space="preserve">related to income taxes </w:t>
      </w:r>
      <w:r>
        <w:rPr>
          <w:i/>
          <w:sz w:val="22"/>
          <w:szCs w:val="22"/>
        </w:rPr>
        <w:t>(see paragraph</w:t>
      </w:r>
      <w:r w:rsidR="00F21573">
        <w:rPr>
          <w:i/>
          <w:sz w:val="22"/>
          <w:szCs w:val="22"/>
        </w:rPr>
        <w:t xml:space="preserve"> BC22 of this proposed Update). Are there other costs </w:t>
      </w:r>
      <w:r w:rsidR="00AF5D54">
        <w:rPr>
          <w:i/>
          <w:sz w:val="22"/>
          <w:szCs w:val="22"/>
        </w:rPr>
        <w:t>or</w:t>
      </w:r>
      <w:r w:rsidR="00F21573">
        <w:rPr>
          <w:i/>
          <w:sz w:val="22"/>
          <w:szCs w:val="22"/>
        </w:rPr>
        <w:t xml:space="preserve"> benefits that the Board should consider regarding these potential disclosures? Are there other country-level disclosures that the Board should</w:t>
      </w:r>
      <w:r w:rsidR="00AF5D54">
        <w:rPr>
          <w:i/>
          <w:sz w:val="22"/>
          <w:szCs w:val="22"/>
        </w:rPr>
        <w:t xml:space="preserve"> consider that may be more cost </w:t>
      </w:r>
      <w:r w:rsidR="00F21573">
        <w:rPr>
          <w:i/>
          <w:sz w:val="22"/>
          <w:szCs w:val="22"/>
        </w:rPr>
        <w:t>beneficial?</w:t>
      </w:r>
    </w:p>
    <w:p w14:paraId="3CC2B855" w14:textId="77777777" w:rsidR="005403FE" w:rsidRDefault="005403FE" w:rsidP="005403FE">
      <w:pPr>
        <w:pStyle w:val="ListParagraph"/>
      </w:pPr>
    </w:p>
    <w:p w14:paraId="31DD6E5C" w14:textId="77582A4B" w:rsidR="00313FA0" w:rsidRPr="005403FE" w:rsidRDefault="00CF120E" w:rsidP="00124731">
      <w:pPr>
        <w:ind w:left="720"/>
        <w:jc w:val="both"/>
        <w:rPr>
          <w:rFonts w:ascii="Times New Roman" w:hAnsi="Times New Roman"/>
        </w:rPr>
      </w:pPr>
      <w:r>
        <w:rPr>
          <w:rFonts w:ascii="Times New Roman" w:hAnsi="Times New Roman"/>
        </w:rPr>
        <w:t>No. We agree with the Board’s proposal.</w:t>
      </w:r>
    </w:p>
    <w:p w14:paraId="16DF7AEB" w14:textId="789C559F" w:rsidR="00313FA0" w:rsidRPr="005403FE" w:rsidRDefault="0085755F" w:rsidP="00313FA0">
      <w:pPr>
        <w:pStyle w:val="ListParagraph"/>
        <w:numPr>
          <w:ilvl w:val="0"/>
          <w:numId w:val="3"/>
        </w:numPr>
        <w:jc w:val="both"/>
        <w:rPr>
          <w:i/>
          <w:sz w:val="22"/>
          <w:szCs w:val="22"/>
        </w:rPr>
      </w:pPr>
      <w:r>
        <w:rPr>
          <w:i/>
          <w:sz w:val="22"/>
          <w:szCs w:val="22"/>
        </w:rPr>
        <w:t>The Board considered several disclosures on indefinitely reinvested foreign earnings (see paragraphs BC27-BC40 of this proposed Update). Is there other information that the Board should consider regarding these potential disclosures? Are there other disclosures about indefinitely reinvested foreign earnings that would be more cost beneficial?</w:t>
      </w:r>
      <w:r w:rsidR="00124731">
        <w:rPr>
          <w:i/>
          <w:sz w:val="22"/>
          <w:szCs w:val="22"/>
        </w:rPr>
        <w:t xml:space="preserve"> </w:t>
      </w:r>
    </w:p>
    <w:p w14:paraId="54B275D9" w14:textId="77777777" w:rsidR="00313FA0" w:rsidRDefault="00313FA0" w:rsidP="005403FE">
      <w:pPr>
        <w:pStyle w:val="ListParagraph"/>
      </w:pPr>
    </w:p>
    <w:p w14:paraId="0C6319D6" w14:textId="3B6ADB5D" w:rsidR="008B55DE" w:rsidRPr="00D549A4" w:rsidRDefault="00D549A4" w:rsidP="001D50EB">
      <w:pPr>
        <w:pStyle w:val="ListParagraph"/>
        <w:jc w:val="both"/>
        <w:rPr>
          <w:sz w:val="22"/>
          <w:szCs w:val="22"/>
        </w:rPr>
      </w:pPr>
      <w:r w:rsidRPr="00D549A4">
        <w:rPr>
          <w:sz w:val="22"/>
          <w:szCs w:val="22"/>
        </w:rPr>
        <w:t>No. We beli</w:t>
      </w:r>
      <w:r>
        <w:rPr>
          <w:sz w:val="22"/>
          <w:szCs w:val="22"/>
        </w:rPr>
        <w:t>e</w:t>
      </w:r>
      <w:r w:rsidRPr="00D549A4">
        <w:rPr>
          <w:sz w:val="22"/>
          <w:szCs w:val="22"/>
        </w:rPr>
        <w:t xml:space="preserve">ve the Board considered many </w:t>
      </w:r>
      <w:r w:rsidR="007A755E">
        <w:rPr>
          <w:sz w:val="22"/>
          <w:szCs w:val="22"/>
        </w:rPr>
        <w:t xml:space="preserve">relevant and decision-useful </w:t>
      </w:r>
      <w:r w:rsidRPr="00D549A4">
        <w:rPr>
          <w:sz w:val="22"/>
          <w:szCs w:val="22"/>
        </w:rPr>
        <w:t>alternatives</w:t>
      </w:r>
      <w:r>
        <w:rPr>
          <w:sz w:val="22"/>
          <w:szCs w:val="22"/>
        </w:rPr>
        <w:t xml:space="preserve"> and selected for disclosure the most cost-effective indicators of the likelihood of the future remittance of foreign earnings and the associated exposure to income tax</w:t>
      </w:r>
      <w:r w:rsidR="00AF5D54">
        <w:rPr>
          <w:sz w:val="22"/>
          <w:szCs w:val="22"/>
        </w:rPr>
        <w:t>es</w:t>
      </w:r>
      <w:r>
        <w:rPr>
          <w:sz w:val="22"/>
          <w:szCs w:val="22"/>
        </w:rPr>
        <w:t>.</w:t>
      </w:r>
    </w:p>
    <w:p w14:paraId="50E2E7B4" w14:textId="77777777" w:rsidR="008B55DE" w:rsidRDefault="008B55DE" w:rsidP="005403FE">
      <w:pPr>
        <w:pStyle w:val="ListParagraph"/>
      </w:pPr>
    </w:p>
    <w:p w14:paraId="775D68F8" w14:textId="642D9900" w:rsidR="00B83688" w:rsidRPr="005403FE" w:rsidRDefault="0085755F" w:rsidP="00B83688">
      <w:pPr>
        <w:pStyle w:val="ListParagraph"/>
        <w:numPr>
          <w:ilvl w:val="0"/>
          <w:numId w:val="3"/>
        </w:numPr>
        <w:jc w:val="both"/>
        <w:rPr>
          <w:i/>
          <w:sz w:val="22"/>
          <w:szCs w:val="22"/>
        </w:rPr>
      </w:pPr>
      <w:r>
        <w:rPr>
          <w:i/>
          <w:sz w:val="22"/>
          <w:szCs w:val="22"/>
        </w:rPr>
        <w:t>The proposed amendments would apply to all entities, except for the requirements in paragraphs 740-10-50-6A through 50-6B, 740-10-50-12, and 740-10-50-15A for which entities other than public business entities would be exempt. Do you agree with the exemption for entities other than public business entities? If not, please describe why and which disclosures should be required for entities other than public business entities.</w:t>
      </w:r>
    </w:p>
    <w:p w14:paraId="5AC7B505" w14:textId="77777777" w:rsidR="00B83688" w:rsidRDefault="00B83688" w:rsidP="005403FE">
      <w:pPr>
        <w:pStyle w:val="ListParagraph"/>
      </w:pPr>
    </w:p>
    <w:p w14:paraId="1F621AC7" w14:textId="2E70C382" w:rsidR="00B83688" w:rsidRPr="005403FE" w:rsidRDefault="00FE22E7" w:rsidP="00B83688">
      <w:pPr>
        <w:ind w:left="720"/>
        <w:jc w:val="both"/>
        <w:rPr>
          <w:rFonts w:ascii="Times New Roman" w:hAnsi="Times New Roman"/>
        </w:rPr>
      </w:pPr>
      <w:r>
        <w:rPr>
          <w:rFonts w:ascii="Times New Roman" w:hAnsi="Times New Roman"/>
        </w:rPr>
        <w:t>Yes.</w:t>
      </w:r>
      <w:r w:rsidR="00AF5D54">
        <w:rPr>
          <w:rFonts w:ascii="Times New Roman" w:hAnsi="Times New Roman"/>
        </w:rPr>
        <w:t xml:space="preserve"> </w:t>
      </w:r>
      <w:r>
        <w:rPr>
          <w:rFonts w:ascii="Times New Roman" w:hAnsi="Times New Roman"/>
        </w:rPr>
        <w:t>We believe the Board provides appropriate justification for each exemption in its Basis for Conclusions</w:t>
      </w:r>
      <w:r w:rsidR="007A755E">
        <w:rPr>
          <w:rFonts w:ascii="Times New Roman" w:hAnsi="Times New Roman"/>
        </w:rPr>
        <w:t xml:space="preserve"> and that removing these exemptions would increase costs while providing no additional decision-useful information beyond what is already available to stakeholders of nonpublic business entities.</w:t>
      </w:r>
      <w:r>
        <w:rPr>
          <w:rFonts w:ascii="Times New Roman" w:hAnsi="Times New Roman"/>
        </w:rPr>
        <w:t xml:space="preserve"> </w:t>
      </w:r>
    </w:p>
    <w:p w14:paraId="0EF6CDF2" w14:textId="77777777" w:rsidR="002D5DB1" w:rsidRDefault="002D5DB1" w:rsidP="00B83688">
      <w:pPr>
        <w:pStyle w:val="ListParagraph"/>
        <w:numPr>
          <w:ilvl w:val="0"/>
          <w:numId w:val="3"/>
        </w:numPr>
        <w:jc w:val="both"/>
        <w:rPr>
          <w:i/>
          <w:sz w:val="22"/>
          <w:szCs w:val="22"/>
        </w:rPr>
      </w:pPr>
      <w:r>
        <w:rPr>
          <w:i/>
          <w:sz w:val="22"/>
          <w:szCs w:val="22"/>
        </w:rPr>
        <w:t>Are there any other disclosures that should be required by Topic 740 on the basis of the proposed Concepts Statement or for other reasons? Please explain why.</w:t>
      </w:r>
    </w:p>
    <w:p w14:paraId="05357760" w14:textId="77777777" w:rsidR="00B83688" w:rsidRDefault="00B83688" w:rsidP="005403FE">
      <w:pPr>
        <w:pStyle w:val="ListParagraph"/>
      </w:pPr>
    </w:p>
    <w:p w14:paraId="5753B49D" w14:textId="1B681CBE" w:rsidR="00D90CE1" w:rsidRDefault="00D90CE1" w:rsidP="00B83688">
      <w:pPr>
        <w:ind w:left="720"/>
        <w:jc w:val="both"/>
        <w:rPr>
          <w:rFonts w:ascii="Times New Roman" w:hAnsi="Times New Roman"/>
        </w:rPr>
      </w:pPr>
      <w:r>
        <w:rPr>
          <w:rFonts w:ascii="Times New Roman" w:hAnsi="Times New Roman"/>
        </w:rPr>
        <w:t>Yes.  In question L4, the Concept</w:t>
      </w:r>
      <w:r w:rsidR="00EE6149">
        <w:rPr>
          <w:rFonts w:ascii="Times New Roman" w:hAnsi="Times New Roman"/>
        </w:rPr>
        <w:t>s</w:t>
      </w:r>
      <w:r>
        <w:rPr>
          <w:rFonts w:ascii="Times New Roman" w:hAnsi="Times New Roman"/>
        </w:rPr>
        <w:t xml:space="preserve"> Statement addresses financial statement lines </w:t>
      </w:r>
      <w:r w:rsidR="0088270F">
        <w:rPr>
          <w:rFonts w:ascii="Times New Roman" w:hAnsi="Times New Roman"/>
        </w:rPr>
        <w:t>contain</w:t>
      </w:r>
      <w:r w:rsidR="000B30A1">
        <w:rPr>
          <w:rFonts w:ascii="Times New Roman" w:hAnsi="Times New Roman"/>
        </w:rPr>
        <w:t>ing</w:t>
      </w:r>
      <w:r>
        <w:rPr>
          <w:rFonts w:ascii="Times New Roman" w:hAnsi="Times New Roman"/>
        </w:rPr>
        <w:t xml:space="preserve"> components that </w:t>
      </w:r>
      <w:r w:rsidR="000B30A1">
        <w:rPr>
          <w:rFonts w:ascii="Times New Roman" w:hAnsi="Times New Roman"/>
        </w:rPr>
        <w:t>do</w:t>
      </w:r>
      <w:r w:rsidR="00EE6149">
        <w:rPr>
          <w:rFonts w:ascii="Times New Roman" w:hAnsi="Times New Roman"/>
        </w:rPr>
        <w:t xml:space="preserve"> not </w:t>
      </w:r>
      <w:r>
        <w:rPr>
          <w:rFonts w:ascii="Times New Roman" w:hAnsi="Times New Roman"/>
        </w:rPr>
        <w:t xml:space="preserve">affect cash flows in </w:t>
      </w:r>
      <w:r w:rsidR="00EE6149">
        <w:rPr>
          <w:rFonts w:ascii="Times New Roman" w:hAnsi="Times New Roman"/>
        </w:rPr>
        <w:t>the same manner</w:t>
      </w:r>
      <w:r>
        <w:rPr>
          <w:rFonts w:ascii="Times New Roman" w:hAnsi="Times New Roman"/>
        </w:rPr>
        <w:t xml:space="preserve">. Income </w:t>
      </w:r>
      <w:r w:rsidR="003B698A">
        <w:rPr>
          <w:rFonts w:ascii="Times New Roman" w:hAnsi="Times New Roman"/>
        </w:rPr>
        <w:t>t</w:t>
      </w:r>
      <w:r>
        <w:rPr>
          <w:rFonts w:ascii="Times New Roman" w:hAnsi="Times New Roman"/>
        </w:rPr>
        <w:t xml:space="preserve">ax </w:t>
      </w:r>
      <w:r w:rsidR="003B698A">
        <w:rPr>
          <w:rFonts w:ascii="Times New Roman" w:hAnsi="Times New Roman"/>
        </w:rPr>
        <w:t>e</w:t>
      </w:r>
      <w:r>
        <w:rPr>
          <w:rFonts w:ascii="Times New Roman" w:hAnsi="Times New Roman"/>
        </w:rPr>
        <w:t xml:space="preserve">xpense </w:t>
      </w:r>
      <w:r w:rsidR="003B698A">
        <w:rPr>
          <w:rFonts w:ascii="Times New Roman" w:hAnsi="Times New Roman"/>
        </w:rPr>
        <w:t xml:space="preserve">(or benefit) </w:t>
      </w:r>
      <w:r>
        <w:rPr>
          <w:rFonts w:ascii="Times New Roman" w:hAnsi="Times New Roman"/>
        </w:rPr>
        <w:t xml:space="preserve">is an example of such a </w:t>
      </w:r>
      <w:r w:rsidR="00EE6149">
        <w:rPr>
          <w:rFonts w:ascii="Times New Roman" w:hAnsi="Times New Roman"/>
        </w:rPr>
        <w:t xml:space="preserve">financial statement </w:t>
      </w:r>
      <w:r>
        <w:rPr>
          <w:rFonts w:ascii="Times New Roman" w:hAnsi="Times New Roman"/>
        </w:rPr>
        <w:t xml:space="preserve">line, necessitating the disclosure of its </w:t>
      </w:r>
      <w:r w:rsidR="0088270F">
        <w:rPr>
          <w:rFonts w:ascii="Times New Roman" w:hAnsi="Times New Roman"/>
        </w:rPr>
        <w:t xml:space="preserve">various </w:t>
      </w:r>
      <w:r>
        <w:rPr>
          <w:rFonts w:ascii="Times New Roman" w:hAnsi="Times New Roman"/>
        </w:rPr>
        <w:t xml:space="preserve">components </w:t>
      </w:r>
      <w:r w:rsidR="0088270F">
        <w:rPr>
          <w:rFonts w:ascii="Times New Roman" w:hAnsi="Times New Roman"/>
        </w:rPr>
        <w:t>(</w:t>
      </w:r>
      <w:r w:rsidR="003B698A">
        <w:rPr>
          <w:rFonts w:ascii="Times New Roman" w:hAnsi="Times New Roman"/>
        </w:rPr>
        <w:t xml:space="preserve">as required by </w:t>
      </w:r>
      <w:r>
        <w:rPr>
          <w:rFonts w:ascii="Times New Roman" w:hAnsi="Times New Roman"/>
        </w:rPr>
        <w:t>paragraph 740-10-50-9</w:t>
      </w:r>
      <w:r w:rsidR="0088270F">
        <w:rPr>
          <w:rFonts w:ascii="Times New Roman" w:hAnsi="Times New Roman"/>
        </w:rPr>
        <w:t>)</w:t>
      </w:r>
      <w:r>
        <w:rPr>
          <w:rFonts w:ascii="Times New Roman" w:hAnsi="Times New Roman"/>
        </w:rPr>
        <w:t xml:space="preserve">. However, we find that </w:t>
      </w:r>
      <w:r w:rsidR="0088270F">
        <w:rPr>
          <w:rFonts w:ascii="Times New Roman" w:hAnsi="Times New Roman"/>
        </w:rPr>
        <w:t>component (c) of that paragraph, “In</w:t>
      </w:r>
      <w:r w:rsidR="00C96463">
        <w:rPr>
          <w:rFonts w:ascii="Times New Roman" w:hAnsi="Times New Roman"/>
        </w:rPr>
        <w:t>vestment</w:t>
      </w:r>
      <w:r w:rsidR="0088270F">
        <w:rPr>
          <w:rFonts w:ascii="Times New Roman" w:hAnsi="Times New Roman"/>
        </w:rPr>
        <w:t xml:space="preserve"> tax credits,” lacks clarity as to its nature and may mislead financial statement users assessing cash flow prospects.</w:t>
      </w:r>
    </w:p>
    <w:p w14:paraId="0D226B29" w14:textId="58260DC9" w:rsidR="003B698A" w:rsidRDefault="0088270F" w:rsidP="00B83688">
      <w:pPr>
        <w:ind w:left="720"/>
        <w:jc w:val="both"/>
        <w:rPr>
          <w:rFonts w:ascii="Times New Roman" w:hAnsi="Times New Roman"/>
        </w:rPr>
      </w:pPr>
      <w:r>
        <w:rPr>
          <w:rFonts w:ascii="Times New Roman" w:hAnsi="Times New Roman"/>
        </w:rPr>
        <w:t xml:space="preserve">We suggest revising the description of component (c) </w:t>
      </w:r>
      <w:r w:rsidR="006B50CF">
        <w:rPr>
          <w:rFonts w:ascii="Times New Roman" w:hAnsi="Times New Roman"/>
        </w:rPr>
        <w:t xml:space="preserve">to read </w:t>
      </w:r>
      <w:r w:rsidR="006B50CF" w:rsidRPr="00D90CE1">
        <w:rPr>
          <w:rFonts w:ascii="Times New Roman" w:hAnsi="Times New Roman"/>
        </w:rPr>
        <w:t>“</w:t>
      </w:r>
      <w:r w:rsidR="002249DE" w:rsidRPr="00D90CE1">
        <w:rPr>
          <w:rFonts w:ascii="Times New Roman" w:hAnsi="Times New Roman"/>
        </w:rPr>
        <w:t>Net amount of i</w:t>
      </w:r>
      <w:r w:rsidR="006B50CF" w:rsidRPr="00D90CE1">
        <w:rPr>
          <w:rFonts w:ascii="Times New Roman" w:hAnsi="Times New Roman"/>
        </w:rPr>
        <w:t>ncome tax credits</w:t>
      </w:r>
      <w:r w:rsidR="002249DE" w:rsidRPr="00D90CE1">
        <w:rPr>
          <w:rFonts w:ascii="Times New Roman" w:hAnsi="Times New Roman"/>
        </w:rPr>
        <w:t xml:space="preserve"> deferred (amortized) under the deferral method</w:t>
      </w:r>
      <w:r w:rsidR="00D90CE1">
        <w:rPr>
          <w:rFonts w:ascii="Times New Roman" w:hAnsi="Times New Roman"/>
        </w:rPr>
        <w:t>.</w:t>
      </w:r>
      <w:r w:rsidR="006B50CF" w:rsidRPr="00D90CE1">
        <w:rPr>
          <w:rFonts w:ascii="Times New Roman" w:hAnsi="Times New Roman"/>
        </w:rPr>
        <w:t>”</w:t>
      </w:r>
      <w:r w:rsidR="006B50CF">
        <w:rPr>
          <w:rFonts w:ascii="Times New Roman" w:hAnsi="Times New Roman"/>
        </w:rPr>
        <w:t xml:space="preserve"> While </w:t>
      </w:r>
      <w:r>
        <w:rPr>
          <w:rFonts w:ascii="Times New Roman" w:hAnsi="Times New Roman"/>
        </w:rPr>
        <w:t xml:space="preserve">we suspect </w:t>
      </w:r>
      <w:r w:rsidR="006B50CF">
        <w:rPr>
          <w:rFonts w:ascii="Times New Roman" w:hAnsi="Times New Roman"/>
        </w:rPr>
        <w:t xml:space="preserve">few </w:t>
      </w:r>
      <w:r w:rsidR="003B698A">
        <w:rPr>
          <w:rFonts w:ascii="Times New Roman" w:hAnsi="Times New Roman"/>
        </w:rPr>
        <w:t>entities</w:t>
      </w:r>
      <w:r w:rsidR="006B50CF">
        <w:rPr>
          <w:rFonts w:ascii="Times New Roman" w:hAnsi="Times New Roman"/>
        </w:rPr>
        <w:t xml:space="preserve"> elect </w:t>
      </w:r>
      <w:r w:rsidR="005530F3">
        <w:rPr>
          <w:rFonts w:ascii="Times New Roman" w:hAnsi="Times New Roman"/>
        </w:rPr>
        <w:t>the</w:t>
      </w:r>
      <w:r w:rsidR="006B50CF">
        <w:rPr>
          <w:rFonts w:ascii="Times New Roman" w:hAnsi="Times New Roman"/>
        </w:rPr>
        <w:t xml:space="preserve"> deferral method for investment tax credits</w:t>
      </w:r>
      <w:r w:rsidR="003B698A">
        <w:rPr>
          <w:rFonts w:ascii="Times New Roman" w:hAnsi="Times New Roman"/>
        </w:rPr>
        <w:t>, as</w:t>
      </w:r>
      <w:r w:rsidR="006B50CF">
        <w:rPr>
          <w:rFonts w:ascii="Times New Roman" w:hAnsi="Times New Roman"/>
        </w:rPr>
        <w:t xml:space="preserve"> </w:t>
      </w:r>
      <w:r w:rsidR="005530F3">
        <w:rPr>
          <w:rFonts w:ascii="Times New Roman" w:hAnsi="Times New Roman"/>
        </w:rPr>
        <w:t xml:space="preserve">described in </w:t>
      </w:r>
      <w:r w:rsidR="003B698A">
        <w:rPr>
          <w:rFonts w:ascii="Times New Roman" w:hAnsi="Times New Roman"/>
        </w:rPr>
        <w:t xml:space="preserve">paragraph </w:t>
      </w:r>
      <w:r w:rsidR="006B50CF">
        <w:rPr>
          <w:rFonts w:ascii="Times New Roman" w:hAnsi="Times New Roman"/>
        </w:rPr>
        <w:t xml:space="preserve">740-10-25-46, </w:t>
      </w:r>
      <w:r>
        <w:rPr>
          <w:rFonts w:ascii="Times New Roman" w:hAnsi="Times New Roman"/>
        </w:rPr>
        <w:t xml:space="preserve">for those </w:t>
      </w:r>
      <w:r w:rsidR="003B698A">
        <w:rPr>
          <w:rFonts w:ascii="Times New Roman" w:hAnsi="Times New Roman"/>
        </w:rPr>
        <w:t xml:space="preserve">entities </w:t>
      </w:r>
      <w:r>
        <w:rPr>
          <w:rFonts w:ascii="Times New Roman" w:hAnsi="Times New Roman"/>
        </w:rPr>
        <w:t xml:space="preserve">that do </w:t>
      </w:r>
      <w:r w:rsidR="003B698A">
        <w:rPr>
          <w:rFonts w:ascii="Times New Roman" w:hAnsi="Times New Roman"/>
        </w:rPr>
        <w:t xml:space="preserve">make the election </w:t>
      </w:r>
      <w:r w:rsidR="006B50CF">
        <w:rPr>
          <w:rFonts w:ascii="Times New Roman" w:hAnsi="Times New Roman"/>
        </w:rPr>
        <w:t xml:space="preserve">this </w:t>
      </w:r>
      <w:r>
        <w:rPr>
          <w:rFonts w:ascii="Times New Roman" w:hAnsi="Times New Roman"/>
        </w:rPr>
        <w:t xml:space="preserve">proposed </w:t>
      </w:r>
      <w:r w:rsidR="006B50CF">
        <w:rPr>
          <w:rFonts w:ascii="Times New Roman" w:hAnsi="Times New Roman"/>
        </w:rPr>
        <w:t>revision w</w:t>
      </w:r>
      <w:r>
        <w:rPr>
          <w:rFonts w:ascii="Times New Roman" w:hAnsi="Times New Roman"/>
        </w:rPr>
        <w:t>ould</w:t>
      </w:r>
      <w:r w:rsidR="006B50CF">
        <w:rPr>
          <w:rFonts w:ascii="Times New Roman" w:hAnsi="Times New Roman"/>
        </w:rPr>
        <w:t xml:space="preserve"> clarify </w:t>
      </w:r>
      <w:r>
        <w:rPr>
          <w:rFonts w:ascii="Times New Roman" w:hAnsi="Times New Roman"/>
        </w:rPr>
        <w:t xml:space="preserve">for financial statement preparers and users alike </w:t>
      </w:r>
      <w:r w:rsidR="006B50CF">
        <w:rPr>
          <w:rFonts w:ascii="Times New Roman" w:hAnsi="Times New Roman"/>
        </w:rPr>
        <w:t>the amount t</w:t>
      </w:r>
      <w:r>
        <w:rPr>
          <w:rFonts w:ascii="Times New Roman" w:hAnsi="Times New Roman"/>
        </w:rPr>
        <w:t xml:space="preserve">hat is represented by </w:t>
      </w:r>
      <w:r w:rsidR="006B50CF">
        <w:rPr>
          <w:rFonts w:ascii="Times New Roman" w:hAnsi="Times New Roman"/>
        </w:rPr>
        <w:t xml:space="preserve">this </w:t>
      </w:r>
      <w:r w:rsidR="00EE6149">
        <w:rPr>
          <w:rFonts w:ascii="Times New Roman" w:hAnsi="Times New Roman"/>
        </w:rPr>
        <w:t>component</w:t>
      </w:r>
      <w:r w:rsidR="002249DE">
        <w:rPr>
          <w:rFonts w:ascii="Times New Roman" w:hAnsi="Times New Roman"/>
        </w:rPr>
        <w:t>,</w:t>
      </w:r>
      <w:r>
        <w:rPr>
          <w:rFonts w:ascii="Times New Roman" w:hAnsi="Times New Roman"/>
        </w:rPr>
        <w:t xml:space="preserve"> which has no direct cash flow impact. I</w:t>
      </w:r>
      <w:r w:rsidR="002249DE">
        <w:rPr>
          <w:rFonts w:ascii="Times New Roman" w:hAnsi="Times New Roman"/>
        </w:rPr>
        <w:t xml:space="preserve">t is neither the amount </w:t>
      </w:r>
      <w:r w:rsidR="00EE6149">
        <w:rPr>
          <w:rFonts w:ascii="Times New Roman" w:hAnsi="Times New Roman"/>
        </w:rPr>
        <w:t xml:space="preserve">of investment tax credit </w:t>
      </w:r>
      <w:r w:rsidR="002249DE">
        <w:rPr>
          <w:rFonts w:ascii="Times New Roman" w:hAnsi="Times New Roman"/>
        </w:rPr>
        <w:t>arising during the period (which reduces current income taxes) nor the amount amortized</w:t>
      </w:r>
      <w:r w:rsidR="003B698A">
        <w:rPr>
          <w:rFonts w:ascii="Times New Roman" w:hAnsi="Times New Roman"/>
        </w:rPr>
        <w:t xml:space="preserve"> during </w:t>
      </w:r>
      <w:r w:rsidR="003B698A">
        <w:rPr>
          <w:rFonts w:ascii="Times New Roman" w:hAnsi="Times New Roman"/>
        </w:rPr>
        <w:lastRenderedPageBreak/>
        <w:t>the period</w:t>
      </w:r>
      <w:r>
        <w:rPr>
          <w:rFonts w:ascii="Times New Roman" w:hAnsi="Times New Roman"/>
        </w:rPr>
        <w:t>, which if</w:t>
      </w:r>
      <w:r w:rsidR="002249DE">
        <w:rPr>
          <w:rFonts w:ascii="Times New Roman" w:hAnsi="Times New Roman"/>
        </w:rPr>
        <w:t xml:space="preserve"> significant</w:t>
      </w:r>
      <w:r w:rsidR="003B698A">
        <w:rPr>
          <w:rFonts w:ascii="Times New Roman" w:hAnsi="Times New Roman"/>
        </w:rPr>
        <w:t xml:space="preserve"> would be d</w:t>
      </w:r>
      <w:r w:rsidR="002249DE">
        <w:rPr>
          <w:rFonts w:ascii="Times New Roman" w:hAnsi="Times New Roman"/>
        </w:rPr>
        <w:t>isclosed in the rate reconciliation table.</w:t>
      </w:r>
      <w:r w:rsidR="00812F7B">
        <w:rPr>
          <w:rFonts w:ascii="Times New Roman" w:hAnsi="Times New Roman"/>
        </w:rPr>
        <w:t xml:space="preserve">  Similarly, the requirement in paragraph 740-10-50-20 to disclose the </w:t>
      </w:r>
      <w:r w:rsidR="003B698A">
        <w:rPr>
          <w:rFonts w:ascii="Times New Roman" w:hAnsi="Times New Roman"/>
        </w:rPr>
        <w:t xml:space="preserve">deferral or flow-through policy </w:t>
      </w:r>
      <w:r w:rsidR="00812F7B">
        <w:rPr>
          <w:rFonts w:ascii="Times New Roman" w:hAnsi="Times New Roman"/>
        </w:rPr>
        <w:t>“</w:t>
      </w:r>
      <w:r w:rsidR="003B698A">
        <w:rPr>
          <w:rFonts w:ascii="Times New Roman" w:hAnsi="Times New Roman"/>
        </w:rPr>
        <w:t xml:space="preserve">and </w:t>
      </w:r>
      <w:r w:rsidR="00812F7B">
        <w:rPr>
          <w:rFonts w:ascii="Times New Roman" w:hAnsi="Times New Roman"/>
        </w:rPr>
        <w:t xml:space="preserve">amounts involved” </w:t>
      </w:r>
      <w:r w:rsidR="003B698A">
        <w:rPr>
          <w:rFonts w:ascii="Times New Roman" w:hAnsi="Times New Roman"/>
        </w:rPr>
        <w:t>should be</w:t>
      </w:r>
      <w:r w:rsidR="00812F7B">
        <w:rPr>
          <w:rFonts w:ascii="Times New Roman" w:hAnsi="Times New Roman"/>
        </w:rPr>
        <w:t xml:space="preserve"> clarified</w:t>
      </w:r>
      <w:r w:rsidR="003B698A">
        <w:rPr>
          <w:rFonts w:ascii="Times New Roman" w:hAnsi="Times New Roman"/>
        </w:rPr>
        <w:t xml:space="preserve"> or the reference to amounts deleted</w:t>
      </w:r>
      <w:r w:rsidR="00812F7B">
        <w:rPr>
          <w:rFonts w:ascii="Times New Roman" w:hAnsi="Times New Roman"/>
        </w:rPr>
        <w:t>.</w:t>
      </w:r>
      <w:r w:rsidR="003B698A">
        <w:rPr>
          <w:rFonts w:ascii="Times New Roman" w:hAnsi="Times New Roman"/>
        </w:rPr>
        <w:t xml:space="preserve">  </w:t>
      </w:r>
    </w:p>
    <w:p w14:paraId="0D0BA5D3" w14:textId="1D49E958" w:rsidR="00B83688" w:rsidRPr="005403FE" w:rsidRDefault="003B698A" w:rsidP="00B83688">
      <w:pPr>
        <w:ind w:left="720"/>
        <w:jc w:val="both"/>
        <w:rPr>
          <w:rFonts w:ascii="Times New Roman" w:hAnsi="Times New Roman"/>
        </w:rPr>
      </w:pPr>
      <w:r>
        <w:rPr>
          <w:rFonts w:ascii="Times New Roman" w:hAnsi="Times New Roman"/>
        </w:rPr>
        <w:t>The pertinent amount for assessing cash flow</w:t>
      </w:r>
      <w:r w:rsidR="008F4FA6">
        <w:rPr>
          <w:rFonts w:ascii="Times New Roman" w:hAnsi="Times New Roman"/>
        </w:rPr>
        <w:t xml:space="preserve"> prospects </w:t>
      </w:r>
      <w:r>
        <w:rPr>
          <w:rFonts w:ascii="Times New Roman" w:hAnsi="Times New Roman"/>
        </w:rPr>
        <w:t xml:space="preserve">is the </w:t>
      </w:r>
      <w:r w:rsidR="008F4FA6">
        <w:rPr>
          <w:rFonts w:ascii="Times New Roman" w:hAnsi="Times New Roman"/>
        </w:rPr>
        <w:t xml:space="preserve">investment </w:t>
      </w:r>
      <w:r>
        <w:rPr>
          <w:rFonts w:ascii="Times New Roman" w:hAnsi="Times New Roman"/>
        </w:rPr>
        <w:t xml:space="preserve">tax credit on the current tax return.  For an entity that elects the deferral method, </w:t>
      </w:r>
      <w:r w:rsidR="00FD1669">
        <w:rPr>
          <w:rFonts w:ascii="Times New Roman" w:hAnsi="Times New Roman"/>
        </w:rPr>
        <w:t xml:space="preserve">this </w:t>
      </w:r>
      <w:r>
        <w:rPr>
          <w:rFonts w:ascii="Times New Roman" w:hAnsi="Times New Roman"/>
        </w:rPr>
        <w:t xml:space="preserve">can be derived by adding back the amortization from the rate reconciliation table to the net amount disclosed for component (c) of Income Tax Expense (or benefit). </w:t>
      </w:r>
      <w:r w:rsidR="008F4FA6">
        <w:rPr>
          <w:rFonts w:ascii="Times New Roman" w:hAnsi="Times New Roman"/>
        </w:rPr>
        <w:t>We believe that amending the description of component (c) as suggested above will allow the financial statement user to make this determination, resulting in more decision-useful information.</w:t>
      </w:r>
    </w:p>
    <w:p w14:paraId="19208E46" w14:textId="0904CDF3" w:rsidR="008B55DE" w:rsidRDefault="008B55DE" w:rsidP="00B83688">
      <w:pPr>
        <w:pStyle w:val="ListParagraph"/>
        <w:numPr>
          <w:ilvl w:val="0"/>
          <w:numId w:val="3"/>
        </w:numPr>
        <w:jc w:val="both"/>
        <w:rPr>
          <w:i/>
          <w:sz w:val="22"/>
          <w:szCs w:val="22"/>
        </w:rPr>
      </w:pPr>
      <w:r>
        <w:rPr>
          <w:i/>
          <w:sz w:val="22"/>
          <w:szCs w:val="22"/>
        </w:rPr>
        <w:t>Are there any other disclosure requirements retained following the review of Topic 740 that should be removed on the basis of the proposed Concepts Statement or for other reasons?</w:t>
      </w:r>
    </w:p>
    <w:p w14:paraId="1A01B9DE" w14:textId="77777777" w:rsidR="008B55DE" w:rsidRDefault="008B55DE" w:rsidP="008B55DE">
      <w:pPr>
        <w:pStyle w:val="ListParagraph"/>
        <w:jc w:val="both"/>
        <w:rPr>
          <w:i/>
          <w:sz w:val="22"/>
          <w:szCs w:val="22"/>
        </w:rPr>
      </w:pPr>
    </w:p>
    <w:p w14:paraId="4E33AF81" w14:textId="710C609E" w:rsidR="008B55DE" w:rsidRPr="008B55DE" w:rsidRDefault="002249DE" w:rsidP="008B55DE">
      <w:pPr>
        <w:pStyle w:val="ListParagraph"/>
        <w:jc w:val="both"/>
        <w:rPr>
          <w:sz w:val="22"/>
          <w:szCs w:val="22"/>
        </w:rPr>
      </w:pPr>
      <w:r>
        <w:rPr>
          <w:sz w:val="22"/>
          <w:szCs w:val="22"/>
        </w:rPr>
        <w:t>No.</w:t>
      </w:r>
    </w:p>
    <w:p w14:paraId="2FE0BC02" w14:textId="77777777" w:rsidR="008B55DE" w:rsidRDefault="008B55DE" w:rsidP="008B55DE">
      <w:pPr>
        <w:pStyle w:val="ListParagraph"/>
        <w:jc w:val="both"/>
        <w:rPr>
          <w:i/>
          <w:sz w:val="22"/>
          <w:szCs w:val="22"/>
        </w:rPr>
      </w:pPr>
    </w:p>
    <w:p w14:paraId="790057FC" w14:textId="0DB1A8EB" w:rsidR="002D5DB1" w:rsidRDefault="002D5DB1" w:rsidP="00B83688">
      <w:pPr>
        <w:pStyle w:val="ListParagraph"/>
        <w:numPr>
          <w:ilvl w:val="0"/>
          <w:numId w:val="3"/>
        </w:numPr>
        <w:jc w:val="both"/>
        <w:rPr>
          <w:i/>
          <w:sz w:val="22"/>
          <w:szCs w:val="22"/>
        </w:rPr>
      </w:pPr>
      <w:r>
        <w:rPr>
          <w:i/>
          <w:sz w:val="22"/>
          <w:szCs w:val="22"/>
        </w:rPr>
        <w:t>Should the proposed</w:t>
      </w:r>
      <w:r w:rsidR="008B55DE">
        <w:rPr>
          <w:i/>
          <w:sz w:val="22"/>
          <w:szCs w:val="22"/>
        </w:rPr>
        <w:t xml:space="preserve"> discl</w:t>
      </w:r>
      <w:r>
        <w:rPr>
          <w:i/>
          <w:sz w:val="22"/>
          <w:szCs w:val="22"/>
        </w:rPr>
        <w:t>o</w:t>
      </w:r>
      <w:r w:rsidR="008B55DE">
        <w:rPr>
          <w:i/>
          <w:sz w:val="22"/>
          <w:szCs w:val="22"/>
        </w:rPr>
        <w:t>s</w:t>
      </w:r>
      <w:r>
        <w:rPr>
          <w:i/>
          <w:sz w:val="22"/>
          <w:szCs w:val="22"/>
        </w:rPr>
        <w:t xml:space="preserve">ures be required only for the reporting year in which the requirements are effective and thereafter or should prior periods be restated in the year in which the requirements </w:t>
      </w:r>
      <w:r w:rsidR="008B55DE">
        <w:rPr>
          <w:i/>
          <w:sz w:val="22"/>
          <w:szCs w:val="22"/>
        </w:rPr>
        <w:t>are effective? Please explain w</w:t>
      </w:r>
      <w:r>
        <w:rPr>
          <w:i/>
          <w:sz w:val="22"/>
          <w:szCs w:val="22"/>
        </w:rPr>
        <w:t>hy.</w:t>
      </w:r>
    </w:p>
    <w:p w14:paraId="63BFCFB7" w14:textId="77777777" w:rsidR="008B55DE" w:rsidRPr="008B55DE" w:rsidRDefault="008B55DE" w:rsidP="008B55DE">
      <w:pPr>
        <w:pStyle w:val="ListParagraph"/>
        <w:rPr>
          <w:i/>
          <w:sz w:val="22"/>
          <w:szCs w:val="22"/>
        </w:rPr>
      </w:pPr>
    </w:p>
    <w:p w14:paraId="57C961F5" w14:textId="6D6D3A20" w:rsidR="008B55DE" w:rsidRPr="00783854" w:rsidRDefault="002249DE" w:rsidP="008B55DE">
      <w:pPr>
        <w:ind w:left="720"/>
        <w:jc w:val="both"/>
        <w:rPr>
          <w:rFonts w:ascii="Times New Roman" w:hAnsi="Times New Roman"/>
        </w:rPr>
      </w:pPr>
      <w:r w:rsidRPr="00FE22E7">
        <w:rPr>
          <w:rFonts w:ascii="Times New Roman" w:hAnsi="Times New Roman"/>
        </w:rPr>
        <w:t xml:space="preserve">We agree with the Board’s decision that </w:t>
      </w:r>
      <w:r w:rsidRPr="00783854">
        <w:rPr>
          <w:rFonts w:ascii="Times New Roman" w:hAnsi="Times New Roman"/>
          <w:i/>
        </w:rPr>
        <w:t>requiring</w:t>
      </w:r>
      <w:r w:rsidRPr="00FE22E7">
        <w:rPr>
          <w:rFonts w:ascii="Times New Roman" w:hAnsi="Times New Roman"/>
        </w:rPr>
        <w:t xml:space="preserve"> retroactive</w:t>
      </w:r>
      <w:r w:rsidR="0046571B" w:rsidRPr="00FE22E7">
        <w:rPr>
          <w:rFonts w:ascii="Times New Roman" w:hAnsi="Times New Roman"/>
        </w:rPr>
        <w:t xml:space="preserve"> application is not warranted due to the potential cost and risk </w:t>
      </w:r>
      <w:r w:rsidR="00F50BB0">
        <w:rPr>
          <w:rFonts w:ascii="Times New Roman" w:hAnsi="Times New Roman"/>
        </w:rPr>
        <w:t xml:space="preserve">of error </w:t>
      </w:r>
      <w:r w:rsidR="0046571B" w:rsidRPr="00FE22E7">
        <w:rPr>
          <w:rFonts w:ascii="Times New Roman" w:hAnsi="Times New Roman"/>
        </w:rPr>
        <w:t xml:space="preserve">associated with </w:t>
      </w:r>
      <w:r w:rsidR="00F50BB0">
        <w:rPr>
          <w:rFonts w:ascii="Times New Roman" w:hAnsi="Times New Roman"/>
        </w:rPr>
        <w:t>manually gathering prior-period</w:t>
      </w:r>
      <w:r w:rsidR="00FD1669">
        <w:rPr>
          <w:rFonts w:ascii="Times New Roman" w:hAnsi="Times New Roman"/>
        </w:rPr>
        <w:t xml:space="preserve"> </w:t>
      </w:r>
      <w:r w:rsidR="0046571B" w:rsidRPr="00FE22E7">
        <w:rPr>
          <w:rFonts w:ascii="Times New Roman" w:hAnsi="Times New Roman"/>
        </w:rPr>
        <w:t>information</w:t>
      </w:r>
      <w:r w:rsidR="00053F62">
        <w:rPr>
          <w:rFonts w:ascii="Times New Roman" w:hAnsi="Times New Roman"/>
        </w:rPr>
        <w:t xml:space="preserve"> for certain entities</w:t>
      </w:r>
      <w:r w:rsidR="0046571B" w:rsidRPr="00FE22E7">
        <w:rPr>
          <w:rFonts w:ascii="Times New Roman" w:hAnsi="Times New Roman"/>
        </w:rPr>
        <w:t>.</w:t>
      </w:r>
      <w:r w:rsidR="00053F62">
        <w:rPr>
          <w:rFonts w:ascii="Times New Roman" w:hAnsi="Times New Roman"/>
        </w:rPr>
        <w:t xml:space="preserve"> </w:t>
      </w:r>
      <w:r w:rsidR="00783854" w:rsidRPr="00783854">
        <w:rPr>
          <w:rFonts w:ascii="Times New Roman" w:hAnsi="Times New Roman"/>
        </w:rPr>
        <w:t xml:space="preserve">However, we believe entities should be allowed the option to adopt the proposed accounting standards update retrospectively or prospectively. This would allow entities to individually assess the cost / benefit of adopting retrospectively versus prospectively, while considering the needs of financial statement users. </w:t>
      </w:r>
      <w:r w:rsidR="00783854">
        <w:rPr>
          <w:rFonts w:ascii="Times New Roman" w:hAnsi="Times New Roman"/>
        </w:rPr>
        <w:t>Providing</w:t>
      </w:r>
      <w:r w:rsidR="00783854" w:rsidRPr="00783854">
        <w:rPr>
          <w:rFonts w:ascii="Times New Roman" w:hAnsi="Times New Roman"/>
        </w:rPr>
        <w:t xml:space="preserve"> this alternative would allow entities to determine the most relevant presentation that provides decision</w:t>
      </w:r>
      <w:r w:rsidR="00783854">
        <w:rPr>
          <w:rFonts w:ascii="Times New Roman" w:hAnsi="Times New Roman"/>
        </w:rPr>
        <w:t>-</w:t>
      </w:r>
      <w:r w:rsidR="00783854" w:rsidRPr="00783854">
        <w:rPr>
          <w:rFonts w:ascii="Times New Roman" w:hAnsi="Times New Roman"/>
        </w:rPr>
        <w:t>useful information to the stakeholders of their financial statements.</w:t>
      </w:r>
    </w:p>
    <w:p w14:paraId="732853D3" w14:textId="0F56367A" w:rsidR="008B55DE" w:rsidRPr="00C75626" w:rsidRDefault="008B55DE" w:rsidP="00B83688">
      <w:pPr>
        <w:pStyle w:val="ListParagraph"/>
        <w:numPr>
          <w:ilvl w:val="0"/>
          <w:numId w:val="3"/>
        </w:numPr>
        <w:jc w:val="both"/>
        <w:rPr>
          <w:i/>
          <w:sz w:val="22"/>
          <w:szCs w:val="22"/>
        </w:rPr>
      </w:pPr>
      <w:r>
        <w:rPr>
          <w:i/>
          <w:sz w:val="22"/>
          <w:szCs w:val="22"/>
        </w:rPr>
        <w:t>How much time would be needed to implement the proposed amendments? Should the amount of time needed to implement the proposed amendments by entities other than public business entities be different from the amount of time needed by public business entities? Should early adoption be permitted? If the answer is “yes” to either question, please explain why.</w:t>
      </w:r>
    </w:p>
    <w:p w14:paraId="668AAA00" w14:textId="77777777" w:rsidR="004D0A66" w:rsidRDefault="004D0A66" w:rsidP="00C75626">
      <w:pPr>
        <w:pStyle w:val="ListParagraph"/>
      </w:pPr>
    </w:p>
    <w:p w14:paraId="551832D5" w14:textId="279918A2" w:rsidR="00F50BB0" w:rsidRDefault="007A755E" w:rsidP="0041745C">
      <w:pPr>
        <w:ind w:left="720"/>
        <w:jc w:val="both"/>
        <w:rPr>
          <w:rFonts w:ascii="Times New Roman" w:hAnsi="Times New Roman"/>
        </w:rPr>
      </w:pPr>
      <w:r>
        <w:rPr>
          <w:rFonts w:ascii="Times New Roman" w:hAnsi="Times New Roman"/>
        </w:rPr>
        <w:t xml:space="preserve">We recognize that private entities are often afforded an additional year to implement new accounting guidance; however, an extended deferral period does not seem warranted in this instance because the proposed amendments are not overly complex. Therefore, we suggest aligning the effective date for all entities at one </w:t>
      </w:r>
      <w:r w:rsidR="0046571B" w:rsidRPr="0046571B">
        <w:rPr>
          <w:rFonts w:ascii="Times New Roman" w:hAnsi="Times New Roman"/>
        </w:rPr>
        <w:t xml:space="preserve">year </w:t>
      </w:r>
      <w:r w:rsidR="0046571B">
        <w:rPr>
          <w:rFonts w:ascii="Times New Roman" w:hAnsi="Times New Roman"/>
        </w:rPr>
        <w:t xml:space="preserve">after the issuance of final </w:t>
      </w:r>
      <w:r w:rsidR="00FE22E7">
        <w:rPr>
          <w:rFonts w:ascii="Times New Roman" w:hAnsi="Times New Roman"/>
        </w:rPr>
        <w:t>guidance</w:t>
      </w:r>
      <w:r>
        <w:rPr>
          <w:rFonts w:ascii="Times New Roman" w:hAnsi="Times New Roman"/>
        </w:rPr>
        <w:t>. We believe this w</w:t>
      </w:r>
      <w:r w:rsidR="0046571B" w:rsidRPr="0046571B">
        <w:rPr>
          <w:rFonts w:ascii="Times New Roman" w:hAnsi="Times New Roman"/>
        </w:rPr>
        <w:t xml:space="preserve">ould </w:t>
      </w:r>
      <w:r w:rsidR="00053F62">
        <w:rPr>
          <w:rFonts w:ascii="Times New Roman" w:hAnsi="Times New Roman"/>
        </w:rPr>
        <w:t>allow</w:t>
      </w:r>
      <w:r w:rsidR="0046571B" w:rsidRPr="0046571B">
        <w:rPr>
          <w:rFonts w:ascii="Times New Roman" w:hAnsi="Times New Roman"/>
        </w:rPr>
        <w:t xml:space="preserve"> sufficient time </w:t>
      </w:r>
      <w:r w:rsidR="0046571B">
        <w:rPr>
          <w:rFonts w:ascii="Times New Roman" w:hAnsi="Times New Roman"/>
        </w:rPr>
        <w:t xml:space="preserve">for the implementation of the proposed amendments for </w:t>
      </w:r>
      <w:r w:rsidR="0046571B" w:rsidRPr="00783854">
        <w:rPr>
          <w:rFonts w:ascii="Times New Roman" w:hAnsi="Times New Roman"/>
          <w:i/>
        </w:rPr>
        <w:t>both</w:t>
      </w:r>
      <w:r w:rsidR="0046571B">
        <w:rPr>
          <w:rFonts w:ascii="Times New Roman" w:hAnsi="Times New Roman"/>
        </w:rPr>
        <w:t xml:space="preserve"> public and private </w:t>
      </w:r>
      <w:r w:rsidR="00FE22E7">
        <w:rPr>
          <w:rFonts w:ascii="Times New Roman" w:hAnsi="Times New Roman"/>
        </w:rPr>
        <w:t>entities</w:t>
      </w:r>
      <w:r w:rsidR="0046571B">
        <w:rPr>
          <w:rFonts w:ascii="Times New Roman" w:hAnsi="Times New Roman"/>
        </w:rPr>
        <w:t xml:space="preserve">. </w:t>
      </w:r>
    </w:p>
    <w:p w14:paraId="0E4C3938" w14:textId="1C62E5A1" w:rsidR="0041745C" w:rsidRPr="00C75626" w:rsidRDefault="0062628D" w:rsidP="0041745C">
      <w:pPr>
        <w:ind w:left="720"/>
        <w:jc w:val="both"/>
        <w:rPr>
          <w:rFonts w:ascii="Times New Roman" w:hAnsi="Times New Roman"/>
        </w:rPr>
      </w:pPr>
      <w:r w:rsidRPr="0046571B">
        <w:rPr>
          <w:rFonts w:ascii="Times New Roman" w:hAnsi="Times New Roman"/>
        </w:rPr>
        <w:t xml:space="preserve">We believe that early adoption should be </w:t>
      </w:r>
      <w:r w:rsidR="0046571B">
        <w:rPr>
          <w:rFonts w:ascii="Times New Roman" w:hAnsi="Times New Roman"/>
        </w:rPr>
        <w:t xml:space="preserve">permitted since the </w:t>
      </w:r>
      <w:r w:rsidR="0046571B" w:rsidRPr="00FE22E7">
        <w:rPr>
          <w:rFonts w:ascii="Times New Roman" w:hAnsi="Times New Roman"/>
        </w:rPr>
        <w:t xml:space="preserve">proposal generally allows for additional disclosures that would be </w:t>
      </w:r>
      <w:r w:rsidR="00FE22E7" w:rsidRPr="00FE22E7">
        <w:rPr>
          <w:rFonts w:ascii="Times New Roman" w:hAnsi="Times New Roman"/>
        </w:rPr>
        <w:t xml:space="preserve">useful to financial statement users. </w:t>
      </w:r>
      <w:r w:rsidRPr="00FE22E7">
        <w:rPr>
          <w:rFonts w:ascii="Times New Roman" w:hAnsi="Times New Roman"/>
        </w:rPr>
        <w:t xml:space="preserve"> </w:t>
      </w:r>
    </w:p>
    <w:p w14:paraId="401A7582" w14:textId="77777777" w:rsidR="00C07D21" w:rsidRPr="00F21F08" w:rsidRDefault="00C07D21" w:rsidP="00C07D21">
      <w:pPr>
        <w:jc w:val="both"/>
        <w:rPr>
          <w:rFonts w:ascii="Times New Roman" w:hAnsi="Times New Roman"/>
        </w:rPr>
      </w:pPr>
      <w:r w:rsidRPr="00F21F08">
        <w:rPr>
          <w:rFonts w:ascii="Times New Roman" w:hAnsi="Times New Roman"/>
        </w:rPr>
        <w:t>We appreciate the opportunity to offer our comments.</w:t>
      </w:r>
    </w:p>
    <w:p w14:paraId="521AC13C" w14:textId="77777777" w:rsidR="00C07D21" w:rsidRPr="00F21F08" w:rsidRDefault="00C07D21" w:rsidP="00C07D21">
      <w:pPr>
        <w:jc w:val="both"/>
        <w:rPr>
          <w:rFonts w:ascii="Times New Roman" w:hAnsi="Times New Roman"/>
        </w:rPr>
      </w:pPr>
      <w:r w:rsidRPr="00F21F08">
        <w:rPr>
          <w:rFonts w:ascii="Times New Roman" w:hAnsi="Times New Roman"/>
        </w:rPr>
        <w:t>Sincerely,</w:t>
      </w:r>
    </w:p>
    <w:p w14:paraId="6773FFCC" w14:textId="77777777" w:rsidR="00C07D21" w:rsidRPr="00F21F08" w:rsidRDefault="00C07D21" w:rsidP="00C07D21">
      <w:pPr>
        <w:jc w:val="both"/>
        <w:rPr>
          <w:rFonts w:ascii="Times New Roman" w:hAnsi="Times New Roman"/>
        </w:rPr>
      </w:pPr>
    </w:p>
    <w:p w14:paraId="68292F9D" w14:textId="7E14DF09" w:rsidR="00C07D21" w:rsidRPr="00F21F08" w:rsidRDefault="0062628D" w:rsidP="00C07D21">
      <w:pPr>
        <w:rPr>
          <w:rFonts w:ascii="Times New Roman" w:hAnsi="Times New Roman"/>
        </w:rPr>
      </w:pPr>
      <w:r>
        <w:rPr>
          <w:rFonts w:ascii="Times New Roman" w:hAnsi="Times New Roman"/>
          <w:b/>
          <w:bCs/>
        </w:rPr>
        <w:t>Ryan Brady</w:t>
      </w:r>
      <w:r w:rsidR="00C07D21" w:rsidRPr="00F21F08">
        <w:rPr>
          <w:rFonts w:ascii="Times New Roman" w:hAnsi="Times New Roman"/>
          <w:b/>
          <w:bCs/>
        </w:rPr>
        <w:t>, CPA</w:t>
      </w:r>
      <w:r w:rsidR="00C07D21" w:rsidRPr="00F21F08">
        <w:rPr>
          <w:rFonts w:ascii="Times New Roman" w:hAnsi="Times New Roman"/>
        </w:rPr>
        <w:br/>
        <w:t>Chair, Accounting Principles Committee</w:t>
      </w:r>
    </w:p>
    <w:p w14:paraId="6E3198B2" w14:textId="77777777" w:rsidR="005838C5" w:rsidRDefault="0062628D" w:rsidP="005838C5">
      <w:pPr>
        <w:rPr>
          <w:rFonts w:ascii="Times New Roman" w:hAnsi="Times New Roman"/>
        </w:rPr>
      </w:pPr>
      <w:r>
        <w:rPr>
          <w:rFonts w:ascii="Times New Roman" w:hAnsi="Times New Roman"/>
          <w:b/>
          <w:bCs/>
        </w:rPr>
        <w:t>Brian Kot</w:t>
      </w:r>
      <w:r w:rsidR="00C07D21" w:rsidRPr="00F21F08">
        <w:rPr>
          <w:rFonts w:ascii="Times New Roman" w:hAnsi="Times New Roman"/>
          <w:b/>
          <w:bCs/>
        </w:rPr>
        <w:t>, CPA</w:t>
      </w:r>
      <w:r w:rsidR="00E83DC2">
        <w:rPr>
          <w:rFonts w:ascii="Times New Roman" w:hAnsi="Times New Roman"/>
        </w:rPr>
        <w:br/>
        <w:t>Vice C</w:t>
      </w:r>
      <w:r w:rsidR="00C07D21" w:rsidRPr="00F21F08">
        <w:rPr>
          <w:rFonts w:ascii="Times New Roman" w:hAnsi="Times New Roman"/>
        </w:rPr>
        <w:t>hair, Accounting Principles Committee</w:t>
      </w:r>
    </w:p>
    <w:p w14:paraId="2AF5DD4C" w14:textId="67571262" w:rsidR="005838C5" w:rsidRPr="001077B6" w:rsidRDefault="00483CC0" w:rsidP="005838C5">
      <w:pPr>
        <w:jc w:val="center"/>
        <w:rPr>
          <w:sz w:val="18"/>
          <w:szCs w:val="18"/>
        </w:rPr>
      </w:pPr>
      <w:r>
        <w:br w:type="page"/>
      </w:r>
      <w:r w:rsidR="005838C5" w:rsidRPr="001077B6">
        <w:rPr>
          <w:sz w:val="18"/>
          <w:szCs w:val="18"/>
        </w:rPr>
        <w:lastRenderedPageBreak/>
        <w:t>APPENDIX A</w:t>
      </w:r>
    </w:p>
    <w:p w14:paraId="35376C73" w14:textId="77777777" w:rsidR="005838C5" w:rsidRPr="001077B6" w:rsidRDefault="005838C5" w:rsidP="005838C5">
      <w:pPr>
        <w:tabs>
          <w:tab w:val="center" w:pos="4680"/>
        </w:tabs>
        <w:suppressAutoHyphens/>
        <w:spacing w:after="0"/>
        <w:jc w:val="center"/>
        <w:rPr>
          <w:sz w:val="18"/>
          <w:szCs w:val="18"/>
        </w:rPr>
      </w:pPr>
      <w:r w:rsidRPr="001077B6">
        <w:rPr>
          <w:sz w:val="18"/>
          <w:szCs w:val="18"/>
        </w:rPr>
        <w:t>ACCOUNTING PRINCIPLES COMMITTEE</w:t>
      </w:r>
    </w:p>
    <w:p w14:paraId="2A484854" w14:textId="77777777" w:rsidR="005838C5" w:rsidRPr="001077B6" w:rsidRDefault="005838C5" w:rsidP="005838C5">
      <w:pPr>
        <w:tabs>
          <w:tab w:val="center" w:pos="4680"/>
        </w:tabs>
        <w:suppressAutoHyphens/>
        <w:spacing w:after="0"/>
        <w:jc w:val="center"/>
        <w:rPr>
          <w:sz w:val="18"/>
          <w:szCs w:val="18"/>
        </w:rPr>
      </w:pPr>
      <w:r w:rsidRPr="001077B6">
        <w:rPr>
          <w:sz w:val="18"/>
          <w:szCs w:val="18"/>
        </w:rPr>
        <w:t>ORGANIZATION AND OPERATING PROCEDURES</w:t>
      </w:r>
    </w:p>
    <w:p w14:paraId="320B7C1C" w14:textId="77777777" w:rsidR="005838C5" w:rsidRPr="001077B6" w:rsidRDefault="005838C5" w:rsidP="005838C5">
      <w:pPr>
        <w:tabs>
          <w:tab w:val="center" w:pos="4680"/>
        </w:tabs>
        <w:suppressAutoHyphens/>
        <w:spacing w:after="0"/>
        <w:jc w:val="center"/>
        <w:rPr>
          <w:sz w:val="18"/>
          <w:szCs w:val="18"/>
        </w:rPr>
      </w:pPr>
      <w:r w:rsidRPr="001077B6">
        <w:rPr>
          <w:sz w:val="18"/>
          <w:szCs w:val="18"/>
        </w:rPr>
        <w:t>201</w:t>
      </w:r>
      <w:r>
        <w:rPr>
          <w:sz w:val="18"/>
          <w:szCs w:val="18"/>
        </w:rPr>
        <w:t>6-2017</w:t>
      </w:r>
    </w:p>
    <w:p w14:paraId="7DA4FD7C" w14:textId="77777777" w:rsidR="005838C5" w:rsidRPr="001077B6" w:rsidRDefault="005838C5" w:rsidP="005838C5">
      <w:pPr>
        <w:tabs>
          <w:tab w:val="center" w:pos="4680"/>
        </w:tabs>
        <w:suppressAutoHyphens/>
        <w:spacing w:after="0"/>
        <w:jc w:val="center"/>
        <w:rPr>
          <w:sz w:val="24"/>
          <w:szCs w:val="24"/>
        </w:rPr>
      </w:pPr>
    </w:p>
    <w:p w14:paraId="3D9D6A8B" w14:textId="77777777" w:rsidR="005838C5" w:rsidRPr="00075D65" w:rsidRDefault="005838C5" w:rsidP="005838C5">
      <w:pPr>
        <w:jc w:val="both"/>
        <w:rPr>
          <w:spacing w:val="-3"/>
          <w:sz w:val="18"/>
          <w:szCs w:val="18"/>
        </w:rPr>
      </w:pPr>
      <w:r w:rsidRPr="001077B6">
        <w:rPr>
          <w:spacing w:val="-3"/>
          <w:sz w:val="18"/>
          <w:szCs w:val="18"/>
        </w:rPr>
        <w:t>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w:t>
      </w:r>
      <w:r>
        <w:rPr>
          <w:spacing w:val="-3"/>
          <w:sz w:val="18"/>
          <w:szCs w:val="18"/>
        </w:rPr>
        <w:t xml:space="preserve"> </w:t>
      </w:r>
      <w:r w:rsidRPr="001077B6">
        <w:rPr>
          <w:spacing w:val="-3"/>
          <w:sz w:val="18"/>
          <w:szCs w:val="18"/>
        </w:rPr>
        <w:t>and do not purport to represent the views of their business affiliations</w:t>
      </w:r>
      <w:r w:rsidRPr="00075D65">
        <w:rPr>
          <w:spacing w:val="-3"/>
          <w:sz w:val="18"/>
          <w:szCs w:val="18"/>
        </w:rPr>
        <w:t xml:space="preserve">. </w:t>
      </w:r>
    </w:p>
    <w:p w14:paraId="5B0D30EF" w14:textId="77777777" w:rsidR="005838C5" w:rsidRPr="001077B6" w:rsidRDefault="005838C5" w:rsidP="005838C5">
      <w:pPr>
        <w:tabs>
          <w:tab w:val="left" w:pos="-720"/>
        </w:tabs>
        <w:suppressAutoHyphens/>
        <w:jc w:val="both"/>
        <w:rPr>
          <w:spacing w:val="-3"/>
          <w:sz w:val="18"/>
          <w:szCs w:val="18"/>
        </w:rPr>
      </w:pPr>
      <w:r w:rsidRPr="001077B6">
        <w:rPr>
          <w:spacing w:val="-3"/>
          <w:sz w:val="18"/>
          <w:szCs w:val="18"/>
        </w:rPr>
        <w:t>The Committee usually operates by assigning Subcommittees of its members to</w:t>
      </w:r>
      <w:r>
        <w:rPr>
          <w:spacing w:val="-3"/>
          <w:sz w:val="18"/>
          <w:szCs w:val="18"/>
        </w:rPr>
        <w:t xml:space="preserve"> fully study and discuss </w:t>
      </w:r>
      <w:r w:rsidRPr="001077B6">
        <w:rPr>
          <w:spacing w:val="-3"/>
          <w:sz w:val="18"/>
          <w:szCs w:val="18"/>
        </w:rPr>
        <w:t>exposure documents proposing additions to or revisions of accounting standards.  The Subcommittee ordinarily develops a proposed response that is considered, discussed and voted on by the full Committee.  Support by the full Committee then results in the issuance of a f</w:t>
      </w:r>
      <w:r>
        <w:rPr>
          <w:spacing w:val="-3"/>
          <w:sz w:val="18"/>
          <w:szCs w:val="18"/>
        </w:rPr>
        <w:t xml:space="preserve">ormal response, which at times </w:t>
      </w:r>
      <w:r w:rsidRPr="001077B6">
        <w:rPr>
          <w:spacing w:val="-3"/>
          <w:sz w:val="18"/>
          <w:szCs w:val="18"/>
        </w:rPr>
        <w:t>includes a minority viewpoint.  Current members of the Committee and their business affiliations are as follows:</w:t>
      </w:r>
    </w:p>
    <w:p w14:paraId="241B23E2"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Public Accounting Firms:</w:t>
      </w:r>
    </w:p>
    <w:p w14:paraId="403C4D86" w14:textId="77777777" w:rsidR="005838C5" w:rsidRPr="001077B6" w:rsidRDefault="005838C5" w:rsidP="005838C5">
      <w:pPr>
        <w:tabs>
          <w:tab w:val="left" w:pos="-720"/>
        </w:tabs>
        <w:suppressAutoHyphens/>
        <w:spacing w:after="0"/>
        <w:jc w:val="both"/>
        <w:rPr>
          <w:b/>
          <w:spacing w:val="-3"/>
          <w:sz w:val="18"/>
          <w:szCs w:val="18"/>
        </w:rPr>
      </w:pPr>
      <w:r w:rsidRPr="001077B6">
        <w:rPr>
          <w:b/>
          <w:spacing w:val="-3"/>
          <w:sz w:val="18"/>
          <w:szCs w:val="18"/>
        </w:rPr>
        <w:t xml:space="preserve">   Large:  </w:t>
      </w:r>
      <w:r w:rsidRPr="001077B6">
        <w:rPr>
          <w:spacing w:val="-3"/>
          <w:sz w:val="18"/>
          <w:szCs w:val="18"/>
        </w:rPr>
        <w:t>(national &amp; regional)</w:t>
      </w:r>
    </w:p>
    <w:p w14:paraId="6476DEE6" w14:textId="77777777" w:rsidR="005838C5"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t>Jared Bourgeois, CPA</w:t>
      </w:r>
      <w:r>
        <w:rPr>
          <w:spacing w:val="-3"/>
          <w:sz w:val="18"/>
          <w:szCs w:val="18"/>
        </w:rPr>
        <w:tab/>
      </w:r>
      <w:r>
        <w:rPr>
          <w:spacing w:val="-3"/>
          <w:sz w:val="18"/>
          <w:szCs w:val="18"/>
        </w:rPr>
        <w:tab/>
        <w:t xml:space="preserve">PricewaterhouseCoopers LLP </w:t>
      </w:r>
    </w:p>
    <w:p w14:paraId="3F5219DC" w14:textId="77777777" w:rsidR="005838C5" w:rsidRPr="00137076" w:rsidRDefault="005838C5" w:rsidP="005838C5">
      <w:pPr>
        <w:tabs>
          <w:tab w:val="left" w:pos="-720"/>
          <w:tab w:val="left" w:pos="360"/>
          <w:tab w:val="left" w:pos="4230"/>
          <w:tab w:val="left" w:pos="4320"/>
        </w:tabs>
        <w:suppressAutoHyphens/>
        <w:spacing w:after="0"/>
        <w:jc w:val="both"/>
        <w:rPr>
          <w:spacing w:val="-3"/>
          <w:sz w:val="18"/>
          <w:szCs w:val="18"/>
        </w:rPr>
      </w:pPr>
      <w:r>
        <w:rPr>
          <w:spacing w:val="-3"/>
          <w:sz w:val="18"/>
          <w:szCs w:val="18"/>
        </w:rPr>
        <w:tab/>
      </w:r>
      <w:r w:rsidRPr="00137076">
        <w:rPr>
          <w:spacing w:val="-3"/>
          <w:sz w:val="18"/>
          <w:szCs w:val="18"/>
        </w:rPr>
        <w:t>Ryan Brady, CPA</w:t>
      </w:r>
      <w:r>
        <w:rPr>
          <w:spacing w:val="-3"/>
          <w:sz w:val="18"/>
          <w:szCs w:val="18"/>
        </w:rPr>
        <w:t xml:space="preserve"> (Chair)</w:t>
      </w:r>
      <w:r w:rsidRPr="00137076">
        <w:rPr>
          <w:spacing w:val="-3"/>
          <w:sz w:val="18"/>
          <w:szCs w:val="18"/>
        </w:rPr>
        <w:tab/>
      </w:r>
      <w:r w:rsidRPr="00137076">
        <w:rPr>
          <w:spacing w:val="-3"/>
          <w:sz w:val="18"/>
          <w:szCs w:val="18"/>
        </w:rPr>
        <w:tab/>
        <w:t>Grant Thornton LLP</w:t>
      </w:r>
    </w:p>
    <w:p w14:paraId="4BB6F3DF" w14:textId="77777777" w:rsidR="005838C5"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Rakesh Desai, CPA</w:t>
      </w:r>
      <w:r>
        <w:rPr>
          <w:spacing w:val="-3"/>
          <w:sz w:val="18"/>
          <w:szCs w:val="18"/>
        </w:rPr>
        <w:tab/>
      </w:r>
      <w:r>
        <w:rPr>
          <w:spacing w:val="-3"/>
          <w:sz w:val="18"/>
          <w:szCs w:val="18"/>
        </w:rPr>
        <w:tab/>
        <w:t>KPMG LLP</w:t>
      </w:r>
    </w:p>
    <w:p w14:paraId="44B6A1E1" w14:textId="77777777" w:rsidR="005838C5" w:rsidRPr="00137076" w:rsidRDefault="005838C5" w:rsidP="005838C5">
      <w:pPr>
        <w:tabs>
          <w:tab w:val="left" w:pos="-720"/>
          <w:tab w:val="left" w:pos="360"/>
          <w:tab w:val="left" w:pos="540"/>
          <w:tab w:val="left" w:pos="4140"/>
        </w:tabs>
        <w:suppressAutoHyphens/>
        <w:spacing w:after="0"/>
        <w:jc w:val="both"/>
        <w:rPr>
          <w:spacing w:val="-3"/>
          <w:sz w:val="18"/>
          <w:szCs w:val="18"/>
        </w:rPr>
      </w:pPr>
      <w:r>
        <w:rPr>
          <w:spacing w:val="-3"/>
          <w:sz w:val="18"/>
          <w:szCs w:val="18"/>
        </w:rPr>
        <w:tab/>
        <w:t>William Keirse, CPA</w:t>
      </w:r>
      <w:r>
        <w:rPr>
          <w:spacing w:val="-3"/>
          <w:sz w:val="18"/>
          <w:szCs w:val="18"/>
        </w:rPr>
        <w:tab/>
      </w:r>
      <w:r>
        <w:rPr>
          <w:spacing w:val="-3"/>
          <w:sz w:val="18"/>
          <w:szCs w:val="18"/>
        </w:rPr>
        <w:tab/>
        <w:t>Ernst &amp; Young LLP</w:t>
      </w:r>
    </w:p>
    <w:p w14:paraId="2D6D15D9" w14:textId="77F28DCD" w:rsidR="005838C5" w:rsidRPr="00137076" w:rsidRDefault="005838C5" w:rsidP="005838C5">
      <w:pPr>
        <w:tabs>
          <w:tab w:val="left" w:pos="-720"/>
          <w:tab w:val="left" w:pos="180"/>
          <w:tab w:val="left" w:pos="4230"/>
        </w:tabs>
        <w:suppressAutoHyphens/>
        <w:ind w:left="180" w:hanging="360"/>
        <w:rPr>
          <w:spacing w:val="-3"/>
          <w:sz w:val="18"/>
          <w:szCs w:val="18"/>
        </w:rPr>
      </w:pPr>
      <w:r w:rsidRPr="00137076">
        <w:rPr>
          <w:spacing w:val="-3"/>
          <w:sz w:val="18"/>
          <w:szCs w:val="18"/>
        </w:rPr>
        <w:tab/>
      </w:r>
      <w:r>
        <w:rPr>
          <w:spacing w:val="-3"/>
          <w:sz w:val="18"/>
          <w:szCs w:val="18"/>
        </w:rPr>
        <w:t xml:space="preserve">     </w:t>
      </w:r>
      <w:r w:rsidRPr="00137076">
        <w:rPr>
          <w:spacing w:val="-3"/>
          <w:sz w:val="18"/>
          <w:szCs w:val="18"/>
        </w:rPr>
        <w:t xml:space="preserve">Scott Lehman, CPA </w:t>
      </w:r>
      <w:r w:rsidRPr="00137076">
        <w:rPr>
          <w:spacing w:val="-3"/>
          <w:sz w:val="18"/>
          <w:szCs w:val="18"/>
        </w:rPr>
        <w:tab/>
        <w:t xml:space="preserve">  </w:t>
      </w:r>
      <w:r w:rsidRPr="00137076">
        <w:rPr>
          <w:spacing w:val="-3"/>
          <w:sz w:val="18"/>
          <w:szCs w:val="18"/>
        </w:rPr>
        <w:tab/>
        <w:t>Crowe Horwath LLP</w:t>
      </w:r>
      <w:r>
        <w:rPr>
          <w:spacing w:val="-3"/>
          <w:sz w:val="18"/>
          <w:szCs w:val="18"/>
        </w:rPr>
        <w:br/>
        <w:t xml:space="preserve">     Reid Mitchell, CPA</w:t>
      </w:r>
      <w:r>
        <w:rPr>
          <w:spacing w:val="-3"/>
          <w:sz w:val="18"/>
          <w:szCs w:val="18"/>
        </w:rPr>
        <w:tab/>
        <w:t xml:space="preserve">  </w:t>
      </w:r>
      <w:proofErr w:type="spellStart"/>
      <w:r>
        <w:rPr>
          <w:spacing w:val="-3"/>
          <w:sz w:val="18"/>
          <w:szCs w:val="18"/>
        </w:rPr>
        <w:t>Wipfli</w:t>
      </w:r>
      <w:proofErr w:type="spellEnd"/>
      <w:r>
        <w:rPr>
          <w:spacing w:val="-3"/>
          <w:sz w:val="18"/>
          <w:szCs w:val="18"/>
        </w:rPr>
        <w:t xml:space="preserve"> LLP</w:t>
      </w:r>
      <w:r>
        <w:rPr>
          <w:spacing w:val="-3"/>
          <w:sz w:val="18"/>
          <w:szCs w:val="18"/>
        </w:rPr>
        <w:br/>
        <w:t xml:space="preserve">     </w:t>
      </w:r>
      <w:r w:rsidRPr="00137076">
        <w:rPr>
          <w:spacing w:val="-3"/>
          <w:sz w:val="18"/>
          <w:szCs w:val="18"/>
        </w:rPr>
        <w:t>Elizabeth  Prossnitz, CPA</w:t>
      </w:r>
      <w:r w:rsidRPr="00137076">
        <w:rPr>
          <w:spacing w:val="-3"/>
          <w:sz w:val="18"/>
          <w:szCs w:val="18"/>
        </w:rPr>
        <w:tab/>
      </w:r>
      <w:r w:rsidRPr="00137076">
        <w:rPr>
          <w:spacing w:val="-3"/>
          <w:sz w:val="18"/>
          <w:szCs w:val="18"/>
        </w:rPr>
        <w:tab/>
        <w:t>BDO USA LLP</w:t>
      </w:r>
      <w:r w:rsidRPr="00137076">
        <w:rPr>
          <w:spacing w:val="-3"/>
          <w:sz w:val="18"/>
          <w:szCs w:val="18"/>
        </w:rPr>
        <w:tab/>
      </w:r>
      <w:r>
        <w:rPr>
          <w:spacing w:val="-3"/>
          <w:sz w:val="18"/>
          <w:szCs w:val="18"/>
        </w:rPr>
        <w:br/>
      </w:r>
      <w:r w:rsidRPr="00137076">
        <w:rPr>
          <w:b/>
          <w:spacing w:val="-3"/>
          <w:sz w:val="18"/>
          <w:szCs w:val="18"/>
        </w:rPr>
        <w:t xml:space="preserve">Medium:  </w:t>
      </w:r>
      <w:r w:rsidRPr="00137076">
        <w:rPr>
          <w:spacing w:val="-3"/>
          <w:sz w:val="18"/>
          <w:szCs w:val="18"/>
        </w:rPr>
        <w:t>(more than 40 professionals)</w:t>
      </w:r>
      <w:r>
        <w:rPr>
          <w:spacing w:val="-3"/>
          <w:sz w:val="18"/>
          <w:szCs w:val="18"/>
        </w:rPr>
        <w:br/>
      </w:r>
      <w:r w:rsidRPr="00137076">
        <w:rPr>
          <w:spacing w:val="-3"/>
          <w:sz w:val="18"/>
          <w:szCs w:val="18"/>
        </w:rPr>
        <w:t xml:space="preserve">     Timothy Bellazzini, CPA</w:t>
      </w:r>
      <w:r w:rsidRPr="00137076">
        <w:rPr>
          <w:spacing w:val="-3"/>
          <w:sz w:val="18"/>
          <w:szCs w:val="18"/>
        </w:rPr>
        <w:tab/>
      </w:r>
      <w:r w:rsidRPr="00137076">
        <w:rPr>
          <w:spacing w:val="-3"/>
          <w:sz w:val="18"/>
          <w:szCs w:val="18"/>
        </w:rPr>
        <w:tab/>
      </w:r>
      <w:proofErr w:type="spellStart"/>
      <w:r w:rsidRPr="00137076">
        <w:rPr>
          <w:spacing w:val="-3"/>
          <w:sz w:val="18"/>
          <w:szCs w:val="18"/>
        </w:rPr>
        <w:t>Sikich</w:t>
      </w:r>
      <w:proofErr w:type="spellEnd"/>
      <w:r w:rsidRPr="00137076">
        <w:rPr>
          <w:spacing w:val="-3"/>
          <w:sz w:val="18"/>
          <w:szCs w:val="18"/>
        </w:rPr>
        <w:t xml:space="preserve"> LLP</w:t>
      </w:r>
      <w:r w:rsidRPr="00137076">
        <w:rPr>
          <w:spacing w:val="-3"/>
          <w:sz w:val="18"/>
          <w:szCs w:val="18"/>
        </w:rPr>
        <w:br/>
        <w:t xml:space="preserve">     Michael Kidd, CPA</w:t>
      </w:r>
      <w:r w:rsidRPr="00137076">
        <w:rPr>
          <w:spacing w:val="-3"/>
          <w:sz w:val="18"/>
          <w:szCs w:val="18"/>
        </w:rPr>
        <w:tab/>
      </w:r>
      <w:r w:rsidRPr="00137076">
        <w:rPr>
          <w:spacing w:val="-3"/>
          <w:sz w:val="18"/>
          <w:szCs w:val="18"/>
        </w:rPr>
        <w:tab/>
        <w:t xml:space="preserve">Mowery &amp; </w:t>
      </w:r>
      <w:proofErr w:type="spellStart"/>
      <w:r w:rsidRPr="00137076">
        <w:rPr>
          <w:spacing w:val="-3"/>
          <w:sz w:val="18"/>
          <w:szCs w:val="18"/>
        </w:rPr>
        <w:t>Schoenfeld</w:t>
      </w:r>
      <w:proofErr w:type="spellEnd"/>
      <w:r w:rsidRPr="00137076">
        <w:rPr>
          <w:spacing w:val="-3"/>
          <w:sz w:val="18"/>
          <w:szCs w:val="18"/>
        </w:rPr>
        <w:t xml:space="preserve"> LLC</w:t>
      </w:r>
      <w:r>
        <w:rPr>
          <w:spacing w:val="-3"/>
          <w:sz w:val="18"/>
          <w:szCs w:val="18"/>
        </w:rPr>
        <w:br/>
        <w:t xml:space="preserve">     Matthew Mitzen, CPA</w:t>
      </w:r>
      <w:r>
        <w:rPr>
          <w:spacing w:val="-3"/>
          <w:sz w:val="18"/>
          <w:szCs w:val="18"/>
        </w:rPr>
        <w:tab/>
        <w:t xml:space="preserve">  Marcum LLP</w:t>
      </w:r>
      <w:r>
        <w:rPr>
          <w:spacing w:val="-3"/>
          <w:sz w:val="18"/>
          <w:szCs w:val="18"/>
        </w:rPr>
        <w:br/>
      </w:r>
      <w:r w:rsidRPr="00137076">
        <w:rPr>
          <w:snapToGrid w:val="0"/>
          <w:color w:val="000000"/>
          <w:sz w:val="18"/>
          <w:szCs w:val="18"/>
        </w:rPr>
        <w:t xml:space="preserve">    Jeffery Watson, CPA </w:t>
      </w:r>
      <w:r w:rsidRPr="00137076">
        <w:rPr>
          <w:snapToGrid w:val="0"/>
          <w:color w:val="000000"/>
          <w:sz w:val="18"/>
          <w:szCs w:val="18"/>
        </w:rPr>
        <w:tab/>
      </w:r>
      <w:r w:rsidRPr="00137076">
        <w:rPr>
          <w:snapToGrid w:val="0"/>
          <w:color w:val="000000"/>
          <w:sz w:val="18"/>
          <w:szCs w:val="18"/>
        </w:rPr>
        <w:tab/>
      </w:r>
      <w:r w:rsidRPr="00137076">
        <w:rPr>
          <w:bCs/>
          <w:sz w:val="18"/>
          <w:szCs w:val="18"/>
        </w:rPr>
        <w:t>Miller Cooper &amp; Co</w:t>
      </w:r>
      <w:r w:rsidR="00142782">
        <w:rPr>
          <w:bCs/>
          <w:sz w:val="18"/>
          <w:szCs w:val="18"/>
        </w:rPr>
        <w:t xml:space="preserve">., </w:t>
      </w:r>
      <w:r w:rsidRPr="00137076">
        <w:rPr>
          <w:bCs/>
          <w:sz w:val="18"/>
          <w:szCs w:val="18"/>
        </w:rPr>
        <w:t xml:space="preserve"> Ltd</w:t>
      </w:r>
      <w:r w:rsidR="00142782">
        <w:rPr>
          <w:bCs/>
          <w:sz w:val="18"/>
          <w:szCs w:val="18"/>
        </w:rPr>
        <w:t>.</w:t>
      </w:r>
      <w:r w:rsidRPr="00137076">
        <w:rPr>
          <w:spacing w:val="-3"/>
          <w:sz w:val="18"/>
          <w:szCs w:val="18"/>
        </w:rPr>
        <w:br/>
      </w:r>
      <w:r w:rsidR="00783854" w:rsidRPr="00137076">
        <w:rPr>
          <w:b/>
          <w:spacing w:val="-3"/>
          <w:sz w:val="18"/>
          <w:szCs w:val="18"/>
        </w:rPr>
        <w:t xml:space="preserve">Small: </w:t>
      </w:r>
      <w:r w:rsidR="00783854" w:rsidRPr="00137076">
        <w:rPr>
          <w:spacing w:val="-3"/>
          <w:sz w:val="18"/>
          <w:szCs w:val="18"/>
        </w:rPr>
        <w:t>(less than 40 professionals)</w:t>
      </w:r>
      <w:r w:rsidR="00783854" w:rsidRPr="00137076">
        <w:rPr>
          <w:spacing w:val="-3"/>
          <w:sz w:val="18"/>
          <w:szCs w:val="18"/>
        </w:rPr>
        <w:br/>
        <w:t xml:space="preserve">     Peggy Brady, CPA</w:t>
      </w:r>
      <w:r w:rsidR="00783854" w:rsidRPr="00137076">
        <w:rPr>
          <w:spacing w:val="-3"/>
          <w:sz w:val="18"/>
          <w:szCs w:val="18"/>
        </w:rPr>
        <w:tab/>
      </w:r>
      <w:r w:rsidR="00783854" w:rsidRPr="00137076">
        <w:rPr>
          <w:spacing w:val="-3"/>
          <w:sz w:val="18"/>
          <w:szCs w:val="18"/>
        </w:rPr>
        <w:tab/>
        <w:t>Selden Fox, Ltd.</w:t>
      </w:r>
      <w:r w:rsidR="00783854" w:rsidRPr="00137076">
        <w:rPr>
          <w:spacing w:val="-3"/>
          <w:sz w:val="18"/>
          <w:szCs w:val="18"/>
        </w:rPr>
        <w:br/>
        <w:t xml:space="preserve">     Marvin Hoffman, CPA </w:t>
      </w:r>
      <w:r w:rsidR="00783854" w:rsidRPr="00137076">
        <w:rPr>
          <w:spacing w:val="-3"/>
          <w:sz w:val="18"/>
          <w:szCs w:val="18"/>
        </w:rPr>
        <w:tab/>
      </w:r>
      <w:r w:rsidR="00783854" w:rsidRPr="00137076">
        <w:rPr>
          <w:spacing w:val="-3"/>
          <w:sz w:val="18"/>
          <w:szCs w:val="18"/>
        </w:rPr>
        <w:tab/>
        <w:t xml:space="preserve">Bronswick, </w:t>
      </w:r>
      <w:proofErr w:type="spellStart"/>
      <w:r w:rsidR="00783854" w:rsidRPr="00137076">
        <w:rPr>
          <w:spacing w:val="-3"/>
          <w:sz w:val="18"/>
          <w:szCs w:val="18"/>
        </w:rPr>
        <w:t>Reicin</w:t>
      </w:r>
      <w:proofErr w:type="spellEnd"/>
      <w:r w:rsidR="00783854" w:rsidRPr="00137076">
        <w:rPr>
          <w:spacing w:val="-3"/>
          <w:sz w:val="18"/>
          <w:szCs w:val="18"/>
        </w:rPr>
        <w:t xml:space="preserve">, Pollack, Ltd. </w:t>
      </w:r>
      <w:r w:rsidR="00783854" w:rsidRPr="00137076">
        <w:rPr>
          <w:spacing w:val="-3"/>
          <w:sz w:val="18"/>
          <w:szCs w:val="18"/>
        </w:rPr>
        <w:br/>
        <w:t xml:space="preserve">     Brian Kot, CPA</w:t>
      </w:r>
      <w:r w:rsidR="00783854">
        <w:rPr>
          <w:spacing w:val="-3"/>
          <w:sz w:val="18"/>
          <w:szCs w:val="18"/>
        </w:rPr>
        <w:t xml:space="preserve"> (Vice Chair)</w:t>
      </w:r>
      <w:r w:rsidR="00783854" w:rsidRPr="00137076">
        <w:rPr>
          <w:spacing w:val="-3"/>
          <w:sz w:val="18"/>
          <w:szCs w:val="18"/>
        </w:rPr>
        <w:tab/>
      </w:r>
      <w:r w:rsidR="00783854" w:rsidRPr="00137076">
        <w:rPr>
          <w:spacing w:val="-3"/>
          <w:sz w:val="18"/>
          <w:szCs w:val="18"/>
        </w:rPr>
        <w:tab/>
        <w:t>Cray Kaiser Ltd CPAs</w:t>
      </w:r>
      <w:r w:rsidR="00783854">
        <w:rPr>
          <w:spacing w:val="-3"/>
          <w:sz w:val="18"/>
          <w:szCs w:val="18"/>
        </w:rPr>
        <w:br/>
        <w:t xml:space="preserve">     </w:t>
      </w:r>
      <w:r w:rsidR="00783854" w:rsidRPr="00137076">
        <w:rPr>
          <w:spacing w:val="-3"/>
          <w:sz w:val="18"/>
          <w:szCs w:val="18"/>
        </w:rPr>
        <w:t>Joshua Lance, CPA</w:t>
      </w:r>
      <w:r w:rsidR="00783854" w:rsidRPr="00137076">
        <w:rPr>
          <w:spacing w:val="-3"/>
          <w:sz w:val="18"/>
          <w:szCs w:val="18"/>
        </w:rPr>
        <w:tab/>
      </w:r>
      <w:r w:rsidR="00783854" w:rsidRPr="009037C2">
        <w:rPr>
          <w:spacing w:val="-3"/>
          <w:sz w:val="18"/>
          <w:szCs w:val="18"/>
        </w:rPr>
        <w:t xml:space="preserve">  </w:t>
      </w:r>
      <w:r w:rsidR="00783854" w:rsidRPr="009037C2">
        <w:rPr>
          <w:spacing w:val="-3"/>
          <w:sz w:val="18"/>
          <w:szCs w:val="18"/>
        </w:rPr>
        <w:tab/>
      </w:r>
      <w:r w:rsidR="00783854" w:rsidRPr="009037C2">
        <w:rPr>
          <w:sz w:val="18"/>
          <w:szCs w:val="18"/>
        </w:rPr>
        <w:t>Joshua Lance CPA, LLC</w:t>
      </w:r>
    </w:p>
    <w:p w14:paraId="4CEBE8E4" w14:textId="77777777" w:rsidR="005838C5" w:rsidRDefault="005838C5" w:rsidP="005838C5">
      <w:pPr>
        <w:tabs>
          <w:tab w:val="left" w:pos="-720"/>
        </w:tabs>
        <w:suppressAutoHyphens/>
        <w:spacing w:after="0"/>
        <w:jc w:val="both"/>
        <w:rPr>
          <w:b/>
          <w:spacing w:val="-3"/>
          <w:sz w:val="18"/>
          <w:szCs w:val="18"/>
        </w:rPr>
      </w:pPr>
      <w:r>
        <w:rPr>
          <w:b/>
          <w:spacing w:val="-3"/>
          <w:sz w:val="18"/>
          <w:szCs w:val="18"/>
        </w:rPr>
        <w:t>Educators:</w:t>
      </w:r>
    </w:p>
    <w:p w14:paraId="11526279" w14:textId="77777777" w:rsidR="005838C5" w:rsidRPr="00137076" w:rsidRDefault="005838C5" w:rsidP="005838C5">
      <w:pPr>
        <w:tabs>
          <w:tab w:val="left" w:pos="-720"/>
          <w:tab w:val="left" w:pos="360"/>
          <w:tab w:val="left" w:pos="4230"/>
          <w:tab w:val="left" w:pos="4320"/>
        </w:tabs>
        <w:suppressAutoHyphens/>
        <w:spacing w:after="0"/>
        <w:ind w:left="360"/>
        <w:jc w:val="both"/>
        <w:rPr>
          <w:spacing w:val="-3"/>
          <w:sz w:val="18"/>
          <w:szCs w:val="18"/>
        </w:rPr>
      </w:pPr>
      <w:r w:rsidRPr="00137076">
        <w:rPr>
          <w:spacing w:val="-3"/>
          <w:sz w:val="18"/>
          <w:szCs w:val="18"/>
        </w:rPr>
        <w:t>John Hepp, CPA</w:t>
      </w:r>
      <w:r>
        <w:rPr>
          <w:spacing w:val="-3"/>
          <w:sz w:val="18"/>
          <w:szCs w:val="18"/>
        </w:rPr>
        <w:tab/>
      </w:r>
      <w:r>
        <w:rPr>
          <w:spacing w:val="-3"/>
          <w:sz w:val="18"/>
          <w:szCs w:val="18"/>
        </w:rPr>
        <w:tab/>
        <w:t>University of Illinois at Urbana-Champaign</w:t>
      </w:r>
      <w:r w:rsidRPr="00137076">
        <w:rPr>
          <w:spacing w:val="-3"/>
          <w:sz w:val="18"/>
          <w:szCs w:val="18"/>
        </w:rPr>
        <w:tab/>
      </w:r>
      <w:r w:rsidRPr="00137076">
        <w:rPr>
          <w:spacing w:val="-3"/>
          <w:sz w:val="18"/>
          <w:szCs w:val="18"/>
        </w:rPr>
        <w:tab/>
      </w:r>
    </w:p>
    <w:p w14:paraId="20988829" w14:textId="77777777" w:rsidR="005838C5" w:rsidRDefault="005838C5" w:rsidP="005838C5">
      <w:pPr>
        <w:tabs>
          <w:tab w:val="left" w:pos="-720"/>
        </w:tabs>
        <w:suppressAutoHyphens/>
        <w:spacing w:after="0"/>
        <w:jc w:val="both"/>
        <w:rPr>
          <w:b/>
          <w:spacing w:val="-3"/>
          <w:sz w:val="18"/>
          <w:szCs w:val="18"/>
        </w:rPr>
      </w:pPr>
    </w:p>
    <w:p w14:paraId="16AC5C52" w14:textId="77777777" w:rsidR="005838C5" w:rsidRPr="00137076" w:rsidRDefault="005838C5" w:rsidP="005838C5">
      <w:pPr>
        <w:tabs>
          <w:tab w:val="left" w:pos="-720"/>
        </w:tabs>
        <w:suppressAutoHyphens/>
        <w:spacing w:after="0"/>
        <w:jc w:val="both"/>
        <w:rPr>
          <w:b/>
          <w:spacing w:val="-3"/>
          <w:sz w:val="18"/>
          <w:szCs w:val="18"/>
        </w:rPr>
      </w:pPr>
      <w:r w:rsidRPr="00137076">
        <w:rPr>
          <w:b/>
          <w:spacing w:val="-3"/>
          <w:sz w:val="18"/>
          <w:szCs w:val="18"/>
        </w:rPr>
        <w:t>Industry:</w:t>
      </w:r>
    </w:p>
    <w:p w14:paraId="6D5E7DF1" w14:textId="77777777"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sidRPr="00137076">
        <w:rPr>
          <w:b/>
          <w:spacing w:val="-3"/>
          <w:sz w:val="18"/>
          <w:szCs w:val="18"/>
        </w:rPr>
        <w:tab/>
      </w:r>
      <w:r w:rsidRPr="00137076">
        <w:rPr>
          <w:spacing w:val="-3"/>
          <w:sz w:val="18"/>
          <w:szCs w:val="18"/>
        </w:rPr>
        <w:t>Rose Cammarata, CPA</w:t>
      </w:r>
      <w:r w:rsidRPr="00137076">
        <w:rPr>
          <w:spacing w:val="-3"/>
          <w:sz w:val="18"/>
          <w:szCs w:val="18"/>
        </w:rPr>
        <w:tab/>
      </w:r>
      <w:r w:rsidRPr="00137076">
        <w:rPr>
          <w:spacing w:val="-3"/>
          <w:sz w:val="18"/>
          <w:szCs w:val="18"/>
        </w:rPr>
        <w:tab/>
      </w:r>
      <w:r w:rsidRPr="00137076">
        <w:rPr>
          <w:spacing w:val="-3"/>
          <w:sz w:val="18"/>
          <w:szCs w:val="18"/>
        </w:rPr>
        <w:tab/>
        <w:t>CME Group Inc.</w:t>
      </w:r>
    </w:p>
    <w:p w14:paraId="5D1283AE"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Ashlee Earl, CPA</w:t>
      </w:r>
      <w:r>
        <w:rPr>
          <w:spacing w:val="-3"/>
          <w:sz w:val="18"/>
          <w:szCs w:val="18"/>
        </w:rPr>
        <w:tab/>
      </w:r>
      <w:r>
        <w:rPr>
          <w:spacing w:val="-3"/>
          <w:sz w:val="18"/>
          <w:szCs w:val="18"/>
        </w:rPr>
        <w:tab/>
      </w:r>
      <w:r>
        <w:rPr>
          <w:spacing w:val="-3"/>
          <w:sz w:val="18"/>
          <w:szCs w:val="18"/>
        </w:rPr>
        <w:tab/>
        <w:t>Seaway Bank and Trust Company</w:t>
      </w:r>
    </w:p>
    <w:p w14:paraId="2A52913D" w14:textId="77777777" w:rsidR="005838C5"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r>
      <w:proofErr w:type="gramStart"/>
      <w:r>
        <w:rPr>
          <w:spacing w:val="-3"/>
          <w:sz w:val="18"/>
          <w:szCs w:val="18"/>
        </w:rPr>
        <w:t>Jeffrey Ellis, CPA</w:t>
      </w:r>
      <w:r>
        <w:rPr>
          <w:spacing w:val="-3"/>
          <w:sz w:val="18"/>
          <w:szCs w:val="18"/>
        </w:rPr>
        <w:tab/>
      </w:r>
      <w:r>
        <w:rPr>
          <w:spacing w:val="-3"/>
          <w:sz w:val="18"/>
          <w:szCs w:val="18"/>
        </w:rPr>
        <w:tab/>
      </w:r>
      <w:r>
        <w:rPr>
          <w:spacing w:val="-3"/>
          <w:sz w:val="18"/>
          <w:szCs w:val="18"/>
        </w:rPr>
        <w:tab/>
        <w:t>FTI Consulting, Inc.</w:t>
      </w:r>
      <w:proofErr w:type="gramEnd"/>
      <w:r>
        <w:rPr>
          <w:spacing w:val="-3"/>
          <w:sz w:val="18"/>
          <w:szCs w:val="18"/>
        </w:rPr>
        <w:t xml:space="preserve"> </w:t>
      </w:r>
      <w:r w:rsidRPr="00137076">
        <w:rPr>
          <w:spacing w:val="-3"/>
          <w:sz w:val="18"/>
          <w:szCs w:val="18"/>
        </w:rPr>
        <w:tab/>
      </w:r>
    </w:p>
    <w:p w14:paraId="3C9AA1A2" w14:textId="77777777" w:rsidR="005838C5" w:rsidRPr="00137076" w:rsidRDefault="005838C5" w:rsidP="005838C5">
      <w:pPr>
        <w:tabs>
          <w:tab w:val="left" w:pos="-720"/>
          <w:tab w:val="left" w:pos="360"/>
          <w:tab w:val="left" w:pos="4140"/>
          <w:tab w:val="left" w:pos="4230"/>
        </w:tabs>
        <w:suppressAutoHyphens/>
        <w:spacing w:after="0"/>
        <w:jc w:val="both"/>
        <w:rPr>
          <w:spacing w:val="-3"/>
          <w:sz w:val="18"/>
          <w:szCs w:val="18"/>
        </w:rPr>
      </w:pPr>
      <w:r>
        <w:rPr>
          <w:spacing w:val="-3"/>
          <w:sz w:val="18"/>
          <w:szCs w:val="18"/>
        </w:rPr>
        <w:tab/>
        <w:t>Christopher Hamm, CPA</w:t>
      </w:r>
      <w:r>
        <w:rPr>
          <w:spacing w:val="-3"/>
          <w:sz w:val="18"/>
          <w:szCs w:val="18"/>
        </w:rPr>
        <w:tab/>
      </w:r>
      <w:r>
        <w:rPr>
          <w:spacing w:val="-3"/>
          <w:sz w:val="18"/>
          <w:szCs w:val="18"/>
        </w:rPr>
        <w:tab/>
      </w:r>
      <w:r>
        <w:rPr>
          <w:spacing w:val="-3"/>
          <w:sz w:val="18"/>
          <w:szCs w:val="18"/>
        </w:rPr>
        <w:tab/>
      </w:r>
      <w:proofErr w:type="spellStart"/>
      <w:r>
        <w:rPr>
          <w:spacing w:val="-3"/>
          <w:sz w:val="18"/>
          <w:szCs w:val="18"/>
        </w:rPr>
        <w:t>Artex</w:t>
      </w:r>
      <w:proofErr w:type="spellEnd"/>
      <w:r>
        <w:rPr>
          <w:spacing w:val="-3"/>
          <w:sz w:val="18"/>
          <w:szCs w:val="18"/>
        </w:rPr>
        <w:t xml:space="preserve"> Risk Solutions, Inc. </w:t>
      </w:r>
    </w:p>
    <w:p w14:paraId="1337A0D7" w14:textId="2F1FE6BB" w:rsidR="005838C5" w:rsidRPr="00137076" w:rsidRDefault="005838C5" w:rsidP="005838C5">
      <w:pPr>
        <w:ind w:left="360"/>
        <w:rPr>
          <w:spacing w:val="-3"/>
          <w:sz w:val="18"/>
          <w:szCs w:val="18"/>
        </w:rPr>
      </w:pPr>
      <w:r w:rsidRPr="00137076">
        <w:rPr>
          <w:spacing w:val="-3"/>
          <w:sz w:val="18"/>
          <w:szCs w:val="18"/>
        </w:rPr>
        <w:t>Marianne  Lorenz, CPA</w:t>
      </w:r>
      <w:r w:rsidRPr="00137076">
        <w:rPr>
          <w:spacing w:val="-3"/>
          <w:sz w:val="18"/>
          <w:szCs w:val="18"/>
        </w:rPr>
        <w:tab/>
      </w:r>
      <w:r w:rsidRPr="00137076">
        <w:rPr>
          <w:spacing w:val="-3"/>
          <w:sz w:val="18"/>
          <w:szCs w:val="18"/>
        </w:rPr>
        <w:tab/>
        <w:t xml:space="preserve">               </w:t>
      </w:r>
      <w:r w:rsidRPr="00137076">
        <w:rPr>
          <w:spacing w:val="-3"/>
          <w:sz w:val="18"/>
          <w:szCs w:val="18"/>
        </w:rPr>
        <w:tab/>
        <w:t xml:space="preserve">               </w:t>
      </w:r>
      <w:r w:rsidRPr="00137076">
        <w:rPr>
          <w:spacing w:val="-3"/>
          <w:sz w:val="18"/>
          <w:szCs w:val="18"/>
        </w:rPr>
        <w:tab/>
      </w:r>
      <w:r w:rsidR="00AB6C1D">
        <w:rPr>
          <w:spacing w:val="-3"/>
          <w:sz w:val="18"/>
          <w:szCs w:val="18"/>
        </w:rPr>
        <w:t>Southern Company Gas</w:t>
      </w:r>
      <w:r w:rsidRPr="00137076">
        <w:rPr>
          <w:spacing w:val="-3"/>
          <w:sz w:val="18"/>
          <w:szCs w:val="18"/>
        </w:rPr>
        <w:br/>
        <w:t>Michael  Maffei, CPA</w:t>
      </w:r>
      <w:r w:rsidRPr="00137076">
        <w:rPr>
          <w:spacing w:val="-3"/>
          <w:sz w:val="18"/>
          <w:szCs w:val="18"/>
        </w:rPr>
        <w:tab/>
        <w:t xml:space="preserve"> </w:t>
      </w:r>
      <w:r w:rsidRPr="00137076">
        <w:rPr>
          <w:spacing w:val="-3"/>
          <w:sz w:val="18"/>
          <w:szCs w:val="18"/>
        </w:rPr>
        <w:tab/>
      </w:r>
      <w:r w:rsidRPr="00137076">
        <w:rPr>
          <w:spacing w:val="-3"/>
          <w:sz w:val="18"/>
          <w:szCs w:val="18"/>
        </w:rPr>
        <w:tab/>
        <w:t xml:space="preserve">               </w:t>
      </w:r>
      <w:r w:rsidRPr="00137076">
        <w:rPr>
          <w:spacing w:val="-3"/>
          <w:sz w:val="18"/>
          <w:szCs w:val="18"/>
        </w:rPr>
        <w:tab/>
        <w:t>GATX Corporation</w:t>
      </w:r>
      <w:r>
        <w:rPr>
          <w:spacing w:val="-3"/>
          <w:sz w:val="18"/>
          <w:szCs w:val="18"/>
        </w:rPr>
        <w:br/>
        <w:t>Joshua Shenton, CPA</w:t>
      </w:r>
      <w:r>
        <w:rPr>
          <w:spacing w:val="-3"/>
          <w:sz w:val="18"/>
          <w:szCs w:val="18"/>
        </w:rPr>
        <w:tab/>
      </w:r>
      <w:r>
        <w:rPr>
          <w:spacing w:val="-3"/>
          <w:sz w:val="18"/>
          <w:szCs w:val="18"/>
        </w:rPr>
        <w:tab/>
      </w:r>
      <w:r>
        <w:rPr>
          <w:spacing w:val="-3"/>
          <w:sz w:val="18"/>
          <w:szCs w:val="18"/>
        </w:rPr>
        <w:tab/>
      </w:r>
      <w:r>
        <w:rPr>
          <w:spacing w:val="-3"/>
          <w:sz w:val="18"/>
          <w:szCs w:val="18"/>
        </w:rPr>
        <w:tab/>
        <w:t xml:space="preserve">Northern Trust Corp. </w:t>
      </w:r>
      <w:r>
        <w:rPr>
          <w:spacing w:val="-3"/>
          <w:sz w:val="18"/>
          <w:szCs w:val="18"/>
        </w:rPr>
        <w:br/>
      </w:r>
      <w:r w:rsidRPr="00137076">
        <w:rPr>
          <w:spacing w:val="-3"/>
          <w:sz w:val="18"/>
          <w:szCs w:val="18"/>
        </w:rPr>
        <w:t>Richard Tarapchak,</w:t>
      </w:r>
      <w:r>
        <w:rPr>
          <w:spacing w:val="-3"/>
          <w:sz w:val="18"/>
          <w:szCs w:val="18"/>
        </w:rPr>
        <w:t xml:space="preserve"> CPA</w:t>
      </w:r>
      <w:r>
        <w:rPr>
          <w:spacing w:val="-3"/>
          <w:sz w:val="18"/>
          <w:szCs w:val="18"/>
        </w:rPr>
        <w:tab/>
      </w:r>
      <w:r>
        <w:rPr>
          <w:spacing w:val="-3"/>
          <w:sz w:val="18"/>
          <w:szCs w:val="18"/>
        </w:rPr>
        <w:tab/>
      </w:r>
      <w:r>
        <w:rPr>
          <w:spacing w:val="-3"/>
          <w:sz w:val="18"/>
          <w:szCs w:val="18"/>
        </w:rPr>
        <w:tab/>
      </w:r>
      <w:r>
        <w:rPr>
          <w:spacing w:val="-3"/>
          <w:sz w:val="18"/>
          <w:szCs w:val="18"/>
        </w:rPr>
        <w:tab/>
        <w:t>National Material</w:t>
      </w:r>
    </w:p>
    <w:p w14:paraId="58221B8A" w14:textId="77777777" w:rsidR="005838C5" w:rsidRPr="00137076" w:rsidRDefault="005838C5" w:rsidP="005838C5">
      <w:pPr>
        <w:tabs>
          <w:tab w:val="left" w:pos="360"/>
          <w:tab w:val="left" w:pos="4230"/>
        </w:tabs>
        <w:spacing w:after="0"/>
        <w:rPr>
          <w:b/>
          <w:sz w:val="18"/>
          <w:szCs w:val="18"/>
        </w:rPr>
      </w:pPr>
      <w:r w:rsidRPr="00137076">
        <w:rPr>
          <w:b/>
          <w:sz w:val="18"/>
          <w:szCs w:val="18"/>
        </w:rPr>
        <w:t>Staff Representative:</w:t>
      </w:r>
    </w:p>
    <w:p w14:paraId="2F876941" w14:textId="77777777" w:rsidR="005838C5" w:rsidRPr="00B36A5E" w:rsidRDefault="005838C5" w:rsidP="005838C5">
      <w:pPr>
        <w:spacing w:after="0"/>
      </w:pPr>
      <w:r w:rsidRPr="00137076">
        <w:rPr>
          <w:sz w:val="18"/>
          <w:szCs w:val="18"/>
        </w:rPr>
        <w:t xml:space="preserve">        Gayle Floresca, CPA</w:t>
      </w:r>
      <w:r w:rsidRPr="00137076">
        <w:rPr>
          <w:sz w:val="18"/>
          <w:szCs w:val="18"/>
        </w:rPr>
        <w:tab/>
      </w:r>
      <w:r w:rsidRPr="00137076">
        <w:rPr>
          <w:sz w:val="18"/>
          <w:szCs w:val="18"/>
        </w:rPr>
        <w:tab/>
      </w:r>
      <w:r w:rsidRPr="00137076">
        <w:rPr>
          <w:sz w:val="18"/>
          <w:szCs w:val="18"/>
        </w:rPr>
        <w:tab/>
        <w:t xml:space="preserve">            </w:t>
      </w:r>
      <w:r w:rsidRPr="00137076">
        <w:rPr>
          <w:sz w:val="18"/>
          <w:szCs w:val="18"/>
        </w:rPr>
        <w:tab/>
        <w:t xml:space="preserve"> Illinois CPA Society</w:t>
      </w:r>
    </w:p>
    <w:p w14:paraId="0F149991" w14:textId="5691B6B9" w:rsidR="00C07D21" w:rsidRPr="0097339A" w:rsidRDefault="00C07D21">
      <w:pPr>
        <w:rPr>
          <w:rFonts w:ascii="Times New Roman" w:hAnsi="Times New Roman"/>
        </w:rPr>
      </w:pPr>
    </w:p>
    <w:sectPr w:rsidR="00C07D21" w:rsidRPr="0097339A" w:rsidSect="00432EC7">
      <w:headerReference w:type="even" r:id="rId9"/>
      <w:headerReference w:type="default" r:id="rId10"/>
      <w:headerReference w:type="first" r:id="rId11"/>
      <w:pgSz w:w="12240" w:h="15840"/>
      <w:pgMar w:top="1008" w:right="1008" w:bottom="1008" w:left="1008"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EB653C" w15:done="0"/>
  <w15:commentEx w15:paraId="6B456E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B08D" w14:textId="77777777" w:rsidR="00635F8A" w:rsidRDefault="00635F8A" w:rsidP="00C07D21">
      <w:pPr>
        <w:spacing w:after="0" w:line="240" w:lineRule="auto"/>
      </w:pPr>
      <w:r>
        <w:separator/>
      </w:r>
    </w:p>
  </w:endnote>
  <w:endnote w:type="continuationSeparator" w:id="0">
    <w:p w14:paraId="60DAD2A9" w14:textId="77777777" w:rsidR="00635F8A" w:rsidRDefault="00635F8A" w:rsidP="00C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FB2FC" w14:textId="77777777" w:rsidR="00635F8A" w:rsidRDefault="00635F8A" w:rsidP="00C07D21">
      <w:pPr>
        <w:spacing w:after="0" w:line="240" w:lineRule="auto"/>
      </w:pPr>
      <w:r>
        <w:separator/>
      </w:r>
    </w:p>
  </w:footnote>
  <w:footnote w:type="continuationSeparator" w:id="0">
    <w:p w14:paraId="43FC104B" w14:textId="77777777" w:rsidR="00635F8A" w:rsidRDefault="00635F8A" w:rsidP="00C0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5373" w14:textId="7F961B62" w:rsidR="00263365" w:rsidRDefault="00263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56827" w14:textId="3CA574B0" w:rsidR="00263365" w:rsidRDefault="00263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EE5E7" w14:textId="22BB1EB7" w:rsidR="00BA56C9" w:rsidRDefault="00BA56C9" w:rsidP="00C07D21">
    <w:pPr>
      <w:pStyle w:val="Header"/>
      <w:jc w:val="center"/>
    </w:pPr>
    <w:r>
      <w:rPr>
        <w:noProof/>
      </w:rPr>
      <w:drawing>
        <wp:inline distT="0" distB="0" distL="0" distR="0" wp14:anchorId="7E49B35E" wp14:editId="6C732870">
          <wp:extent cx="1247775" cy="1057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6DE"/>
    <w:multiLevelType w:val="hybridMultilevel"/>
    <w:tmpl w:val="8C3EBF10"/>
    <w:lvl w:ilvl="0" w:tplc="74869910">
      <w:start w:val="1"/>
      <w:numFmt w:val="decimal"/>
      <w:lvlText w:val="%1."/>
      <w:lvlJc w:val="left"/>
      <w:pPr>
        <w:ind w:left="72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348BC"/>
    <w:multiLevelType w:val="hybridMultilevel"/>
    <w:tmpl w:val="4092A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C55EB"/>
    <w:multiLevelType w:val="hybridMultilevel"/>
    <w:tmpl w:val="DE8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76538E0"/>
    <w:multiLevelType w:val="hybridMultilevel"/>
    <w:tmpl w:val="2BCC7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672D93"/>
    <w:multiLevelType w:val="hybridMultilevel"/>
    <w:tmpl w:val="5088E7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652743C2"/>
    <w:multiLevelType w:val="hybridMultilevel"/>
    <w:tmpl w:val="D55A8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8D7DBA"/>
    <w:multiLevelType w:val="hybridMultilevel"/>
    <w:tmpl w:val="4360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41540"/>
    <w:multiLevelType w:val="hybridMultilevel"/>
    <w:tmpl w:val="74D2F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dy, Ryan">
    <w15:presenceInfo w15:providerId="AD" w15:userId="S-1-5-21-507921405-362288127-725345543-33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3E1"/>
    <w:rsid w:val="0000540A"/>
    <w:rsid w:val="00007C01"/>
    <w:rsid w:val="000142EA"/>
    <w:rsid w:val="00032381"/>
    <w:rsid w:val="00036742"/>
    <w:rsid w:val="000369D7"/>
    <w:rsid w:val="00041775"/>
    <w:rsid w:val="00042A30"/>
    <w:rsid w:val="00050D70"/>
    <w:rsid w:val="00053F62"/>
    <w:rsid w:val="00053FEF"/>
    <w:rsid w:val="00057379"/>
    <w:rsid w:val="00060B2D"/>
    <w:rsid w:val="000657B9"/>
    <w:rsid w:val="00085888"/>
    <w:rsid w:val="0009050E"/>
    <w:rsid w:val="000A2FC2"/>
    <w:rsid w:val="000A44F0"/>
    <w:rsid w:val="000A6B72"/>
    <w:rsid w:val="000B30A1"/>
    <w:rsid w:val="000D2962"/>
    <w:rsid w:val="000D4CFC"/>
    <w:rsid w:val="000D4E0A"/>
    <w:rsid w:val="000D728D"/>
    <w:rsid w:val="000D7F45"/>
    <w:rsid w:val="000F4630"/>
    <w:rsid w:val="000F4862"/>
    <w:rsid w:val="0011453E"/>
    <w:rsid w:val="00116708"/>
    <w:rsid w:val="0011726D"/>
    <w:rsid w:val="00117E71"/>
    <w:rsid w:val="00120B3D"/>
    <w:rsid w:val="00124731"/>
    <w:rsid w:val="00131959"/>
    <w:rsid w:val="0013468E"/>
    <w:rsid w:val="00142782"/>
    <w:rsid w:val="00145DFF"/>
    <w:rsid w:val="00146D01"/>
    <w:rsid w:val="00160853"/>
    <w:rsid w:val="00164046"/>
    <w:rsid w:val="00171283"/>
    <w:rsid w:val="00171936"/>
    <w:rsid w:val="00176186"/>
    <w:rsid w:val="001832B0"/>
    <w:rsid w:val="001A791C"/>
    <w:rsid w:val="001B6B1A"/>
    <w:rsid w:val="001C689F"/>
    <w:rsid w:val="001D009B"/>
    <w:rsid w:val="001D229D"/>
    <w:rsid w:val="001D3215"/>
    <w:rsid w:val="001D50EB"/>
    <w:rsid w:val="001D79D0"/>
    <w:rsid w:val="001D79EE"/>
    <w:rsid w:val="001E54FB"/>
    <w:rsid w:val="00205CF6"/>
    <w:rsid w:val="00206497"/>
    <w:rsid w:val="002179CB"/>
    <w:rsid w:val="002249DE"/>
    <w:rsid w:val="00230273"/>
    <w:rsid w:val="00263365"/>
    <w:rsid w:val="0026355B"/>
    <w:rsid w:val="00264B8B"/>
    <w:rsid w:val="00265659"/>
    <w:rsid w:val="00265C19"/>
    <w:rsid w:val="00270D5D"/>
    <w:rsid w:val="00273636"/>
    <w:rsid w:val="00274A68"/>
    <w:rsid w:val="00282AC6"/>
    <w:rsid w:val="002853F7"/>
    <w:rsid w:val="00291510"/>
    <w:rsid w:val="0029201A"/>
    <w:rsid w:val="00296D5A"/>
    <w:rsid w:val="002A0322"/>
    <w:rsid w:val="002A57B5"/>
    <w:rsid w:val="002B3F2F"/>
    <w:rsid w:val="002C0FD7"/>
    <w:rsid w:val="002C22EC"/>
    <w:rsid w:val="002C4993"/>
    <w:rsid w:val="002C690C"/>
    <w:rsid w:val="002D5DB1"/>
    <w:rsid w:val="002D74CA"/>
    <w:rsid w:val="002F69AD"/>
    <w:rsid w:val="002F745C"/>
    <w:rsid w:val="003033B8"/>
    <w:rsid w:val="00313FA0"/>
    <w:rsid w:val="003144A1"/>
    <w:rsid w:val="003402D4"/>
    <w:rsid w:val="00341352"/>
    <w:rsid w:val="0034247D"/>
    <w:rsid w:val="00347085"/>
    <w:rsid w:val="00347677"/>
    <w:rsid w:val="00347E79"/>
    <w:rsid w:val="00353E39"/>
    <w:rsid w:val="00357C92"/>
    <w:rsid w:val="003707B8"/>
    <w:rsid w:val="00380A7A"/>
    <w:rsid w:val="0038475C"/>
    <w:rsid w:val="00395802"/>
    <w:rsid w:val="003A0467"/>
    <w:rsid w:val="003B698A"/>
    <w:rsid w:val="003C0300"/>
    <w:rsid w:val="003C7BD9"/>
    <w:rsid w:val="003F17CA"/>
    <w:rsid w:val="003F63B5"/>
    <w:rsid w:val="0041714B"/>
    <w:rsid w:val="0041745C"/>
    <w:rsid w:val="00432EC7"/>
    <w:rsid w:val="00443B4B"/>
    <w:rsid w:val="00443E9E"/>
    <w:rsid w:val="00452EDD"/>
    <w:rsid w:val="00455A3C"/>
    <w:rsid w:val="00456BED"/>
    <w:rsid w:val="00462B05"/>
    <w:rsid w:val="00463AAA"/>
    <w:rsid w:val="004653E5"/>
    <w:rsid w:val="0046571B"/>
    <w:rsid w:val="00476BC9"/>
    <w:rsid w:val="00483CC0"/>
    <w:rsid w:val="004843CB"/>
    <w:rsid w:val="004952E0"/>
    <w:rsid w:val="004B1968"/>
    <w:rsid w:val="004B52D3"/>
    <w:rsid w:val="004C2DCA"/>
    <w:rsid w:val="004D0A66"/>
    <w:rsid w:val="004D0B2F"/>
    <w:rsid w:val="004D0BD1"/>
    <w:rsid w:val="004D1C90"/>
    <w:rsid w:val="004E2126"/>
    <w:rsid w:val="004E2E28"/>
    <w:rsid w:val="004E4BAA"/>
    <w:rsid w:val="004E7B18"/>
    <w:rsid w:val="004F0E20"/>
    <w:rsid w:val="00505ADE"/>
    <w:rsid w:val="005079B6"/>
    <w:rsid w:val="005229F1"/>
    <w:rsid w:val="00523330"/>
    <w:rsid w:val="00523F4E"/>
    <w:rsid w:val="005251D7"/>
    <w:rsid w:val="005403FE"/>
    <w:rsid w:val="005530F3"/>
    <w:rsid w:val="00553D03"/>
    <w:rsid w:val="00565C7C"/>
    <w:rsid w:val="00572F95"/>
    <w:rsid w:val="005838C5"/>
    <w:rsid w:val="00594184"/>
    <w:rsid w:val="00594BD8"/>
    <w:rsid w:val="005969E2"/>
    <w:rsid w:val="005A168C"/>
    <w:rsid w:val="005A3670"/>
    <w:rsid w:val="005B5BDF"/>
    <w:rsid w:val="005C148C"/>
    <w:rsid w:val="005C2DB4"/>
    <w:rsid w:val="005C7777"/>
    <w:rsid w:val="005C7C74"/>
    <w:rsid w:val="005D1F31"/>
    <w:rsid w:val="005D3892"/>
    <w:rsid w:val="005D6CBB"/>
    <w:rsid w:val="005D7AD3"/>
    <w:rsid w:val="005F434F"/>
    <w:rsid w:val="005F5188"/>
    <w:rsid w:val="006063A7"/>
    <w:rsid w:val="00606DCD"/>
    <w:rsid w:val="00607BE2"/>
    <w:rsid w:val="0061054B"/>
    <w:rsid w:val="0062628D"/>
    <w:rsid w:val="00626453"/>
    <w:rsid w:val="00633DD6"/>
    <w:rsid w:val="00634D65"/>
    <w:rsid w:val="00635F8A"/>
    <w:rsid w:val="00676ADA"/>
    <w:rsid w:val="00677BD2"/>
    <w:rsid w:val="00682D9C"/>
    <w:rsid w:val="00684637"/>
    <w:rsid w:val="00685277"/>
    <w:rsid w:val="00686600"/>
    <w:rsid w:val="00695769"/>
    <w:rsid w:val="0069581C"/>
    <w:rsid w:val="006B0335"/>
    <w:rsid w:val="006B50CF"/>
    <w:rsid w:val="006B6654"/>
    <w:rsid w:val="006D7FE5"/>
    <w:rsid w:val="006E04FA"/>
    <w:rsid w:val="006E0858"/>
    <w:rsid w:val="006E3558"/>
    <w:rsid w:val="006E7763"/>
    <w:rsid w:val="006F5863"/>
    <w:rsid w:val="006F7427"/>
    <w:rsid w:val="00711F27"/>
    <w:rsid w:val="00714F6A"/>
    <w:rsid w:val="00723E93"/>
    <w:rsid w:val="007264C5"/>
    <w:rsid w:val="00735823"/>
    <w:rsid w:val="0076093B"/>
    <w:rsid w:val="007615EB"/>
    <w:rsid w:val="007718DC"/>
    <w:rsid w:val="00772526"/>
    <w:rsid w:val="00775763"/>
    <w:rsid w:val="00775E61"/>
    <w:rsid w:val="00783105"/>
    <w:rsid w:val="00783854"/>
    <w:rsid w:val="0078458F"/>
    <w:rsid w:val="007923B5"/>
    <w:rsid w:val="007A755E"/>
    <w:rsid w:val="007C2442"/>
    <w:rsid w:val="007C532D"/>
    <w:rsid w:val="007D187A"/>
    <w:rsid w:val="007E3EA5"/>
    <w:rsid w:val="008023E1"/>
    <w:rsid w:val="00806C94"/>
    <w:rsid w:val="00812F7B"/>
    <w:rsid w:val="008165E6"/>
    <w:rsid w:val="00837848"/>
    <w:rsid w:val="00852838"/>
    <w:rsid w:val="00855F73"/>
    <w:rsid w:val="00856E14"/>
    <w:rsid w:val="0085755F"/>
    <w:rsid w:val="00867AD3"/>
    <w:rsid w:val="00874581"/>
    <w:rsid w:val="00876585"/>
    <w:rsid w:val="008806F3"/>
    <w:rsid w:val="0088270F"/>
    <w:rsid w:val="00890128"/>
    <w:rsid w:val="008A7A30"/>
    <w:rsid w:val="008B4D87"/>
    <w:rsid w:val="008B55DE"/>
    <w:rsid w:val="008B5F91"/>
    <w:rsid w:val="008B6B1F"/>
    <w:rsid w:val="008B6BEC"/>
    <w:rsid w:val="008C0283"/>
    <w:rsid w:val="008C45C6"/>
    <w:rsid w:val="008C58C1"/>
    <w:rsid w:val="008C7470"/>
    <w:rsid w:val="008D14B3"/>
    <w:rsid w:val="008D298F"/>
    <w:rsid w:val="008E05F5"/>
    <w:rsid w:val="008F4FA6"/>
    <w:rsid w:val="008F5C78"/>
    <w:rsid w:val="00900AB6"/>
    <w:rsid w:val="00913F17"/>
    <w:rsid w:val="009140A0"/>
    <w:rsid w:val="00922646"/>
    <w:rsid w:val="009300EF"/>
    <w:rsid w:val="00946871"/>
    <w:rsid w:val="009538E7"/>
    <w:rsid w:val="00957E87"/>
    <w:rsid w:val="00966AF7"/>
    <w:rsid w:val="00971141"/>
    <w:rsid w:val="00972817"/>
    <w:rsid w:val="0097339A"/>
    <w:rsid w:val="009760A6"/>
    <w:rsid w:val="00980FBB"/>
    <w:rsid w:val="009848C2"/>
    <w:rsid w:val="009A171D"/>
    <w:rsid w:val="009A443F"/>
    <w:rsid w:val="009C3023"/>
    <w:rsid w:val="009C3411"/>
    <w:rsid w:val="009C59A8"/>
    <w:rsid w:val="009C69E9"/>
    <w:rsid w:val="009D7569"/>
    <w:rsid w:val="009E263F"/>
    <w:rsid w:val="009F24C6"/>
    <w:rsid w:val="009F594A"/>
    <w:rsid w:val="00A2079E"/>
    <w:rsid w:val="00A21EA6"/>
    <w:rsid w:val="00A257F0"/>
    <w:rsid w:val="00A27AFF"/>
    <w:rsid w:val="00A3597D"/>
    <w:rsid w:val="00A56155"/>
    <w:rsid w:val="00A6434A"/>
    <w:rsid w:val="00A67DA6"/>
    <w:rsid w:val="00A70655"/>
    <w:rsid w:val="00A738BE"/>
    <w:rsid w:val="00A757C6"/>
    <w:rsid w:val="00A778A2"/>
    <w:rsid w:val="00A82D39"/>
    <w:rsid w:val="00A919C6"/>
    <w:rsid w:val="00A9382B"/>
    <w:rsid w:val="00A94D81"/>
    <w:rsid w:val="00AA1ED3"/>
    <w:rsid w:val="00AB39ED"/>
    <w:rsid w:val="00AB6C1D"/>
    <w:rsid w:val="00AC3D7F"/>
    <w:rsid w:val="00AC6BBF"/>
    <w:rsid w:val="00AC7E85"/>
    <w:rsid w:val="00AD16B3"/>
    <w:rsid w:val="00AD359F"/>
    <w:rsid w:val="00AE1A72"/>
    <w:rsid w:val="00AE7443"/>
    <w:rsid w:val="00AF45C5"/>
    <w:rsid w:val="00AF5D54"/>
    <w:rsid w:val="00B10704"/>
    <w:rsid w:val="00B2433B"/>
    <w:rsid w:val="00B45AD5"/>
    <w:rsid w:val="00B705BE"/>
    <w:rsid w:val="00B83688"/>
    <w:rsid w:val="00B85463"/>
    <w:rsid w:val="00B91204"/>
    <w:rsid w:val="00BA05C8"/>
    <w:rsid w:val="00BA2D12"/>
    <w:rsid w:val="00BA56C9"/>
    <w:rsid w:val="00BB2CA4"/>
    <w:rsid w:val="00BB4619"/>
    <w:rsid w:val="00BB4824"/>
    <w:rsid w:val="00BC32E7"/>
    <w:rsid w:val="00BC3E2D"/>
    <w:rsid w:val="00BE276E"/>
    <w:rsid w:val="00BE4AD4"/>
    <w:rsid w:val="00BE64FA"/>
    <w:rsid w:val="00BF1792"/>
    <w:rsid w:val="00C034F1"/>
    <w:rsid w:val="00C07D21"/>
    <w:rsid w:val="00C137C4"/>
    <w:rsid w:val="00C2233B"/>
    <w:rsid w:val="00C35C9A"/>
    <w:rsid w:val="00C3656C"/>
    <w:rsid w:val="00C464CB"/>
    <w:rsid w:val="00C5619A"/>
    <w:rsid w:val="00C6020D"/>
    <w:rsid w:val="00C61383"/>
    <w:rsid w:val="00C62C28"/>
    <w:rsid w:val="00C673C8"/>
    <w:rsid w:val="00C705E6"/>
    <w:rsid w:val="00C71132"/>
    <w:rsid w:val="00C75626"/>
    <w:rsid w:val="00C859FB"/>
    <w:rsid w:val="00C95559"/>
    <w:rsid w:val="00C96463"/>
    <w:rsid w:val="00C97203"/>
    <w:rsid w:val="00CB47C8"/>
    <w:rsid w:val="00CC2998"/>
    <w:rsid w:val="00CD09CF"/>
    <w:rsid w:val="00CD281E"/>
    <w:rsid w:val="00CD4125"/>
    <w:rsid w:val="00CD7707"/>
    <w:rsid w:val="00CF120E"/>
    <w:rsid w:val="00D0776B"/>
    <w:rsid w:val="00D13CE9"/>
    <w:rsid w:val="00D17B17"/>
    <w:rsid w:val="00D20B0F"/>
    <w:rsid w:val="00D21131"/>
    <w:rsid w:val="00D348A1"/>
    <w:rsid w:val="00D40953"/>
    <w:rsid w:val="00D44D90"/>
    <w:rsid w:val="00D46354"/>
    <w:rsid w:val="00D53065"/>
    <w:rsid w:val="00D549A4"/>
    <w:rsid w:val="00D54EFA"/>
    <w:rsid w:val="00D62BFB"/>
    <w:rsid w:val="00D6721D"/>
    <w:rsid w:val="00D67BFE"/>
    <w:rsid w:val="00D726DA"/>
    <w:rsid w:val="00D72765"/>
    <w:rsid w:val="00D90CE1"/>
    <w:rsid w:val="00D9165B"/>
    <w:rsid w:val="00D95DE2"/>
    <w:rsid w:val="00D97561"/>
    <w:rsid w:val="00DA170D"/>
    <w:rsid w:val="00DA5FC3"/>
    <w:rsid w:val="00DA799F"/>
    <w:rsid w:val="00DB466C"/>
    <w:rsid w:val="00DB71A3"/>
    <w:rsid w:val="00DC1D5C"/>
    <w:rsid w:val="00DC5894"/>
    <w:rsid w:val="00DD54A8"/>
    <w:rsid w:val="00DD6EF3"/>
    <w:rsid w:val="00DE6BF9"/>
    <w:rsid w:val="00DE7014"/>
    <w:rsid w:val="00E1043D"/>
    <w:rsid w:val="00E24EC3"/>
    <w:rsid w:val="00E3067E"/>
    <w:rsid w:val="00E351C7"/>
    <w:rsid w:val="00E36A30"/>
    <w:rsid w:val="00E3777E"/>
    <w:rsid w:val="00E420ED"/>
    <w:rsid w:val="00E44736"/>
    <w:rsid w:val="00E44E05"/>
    <w:rsid w:val="00E45165"/>
    <w:rsid w:val="00E57852"/>
    <w:rsid w:val="00E60C98"/>
    <w:rsid w:val="00E82E8E"/>
    <w:rsid w:val="00E83DC2"/>
    <w:rsid w:val="00E83F85"/>
    <w:rsid w:val="00E845C2"/>
    <w:rsid w:val="00EA1DC9"/>
    <w:rsid w:val="00EA379E"/>
    <w:rsid w:val="00EA56EC"/>
    <w:rsid w:val="00EB2335"/>
    <w:rsid w:val="00EB500C"/>
    <w:rsid w:val="00EC05AA"/>
    <w:rsid w:val="00EC0944"/>
    <w:rsid w:val="00EC4ACA"/>
    <w:rsid w:val="00ED3B04"/>
    <w:rsid w:val="00ED3E20"/>
    <w:rsid w:val="00ED693D"/>
    <w:rsid w:val="00EE14F2"/>
    <w:rsid w:val="00EE5591"/>
    <w:rsid w:val="00EE6149"/>
    <w:rsid w:val="00F03D74"/>
    <w:rsid w:val="00F2086D"/>
    <w:rsid w:val="00F21573"/>
    <w:rsid w:val="00F32416"/>
    <w:rsid w:val="00F35E78"/>
    <w:rsid w:val="00F42857"/>
    <w:rsid w:val="00F50BB0"/>
    <w:rsid w:val="00F520E5"/>
    <w:rsid w:val="00F54F28"/>
    <w:rsid w:val="00F55887"/>
    <w:rsid w:val="00F72F83"/>
    <w:rsid w:val="00F73AB1"/>
    <w:rsid w:val="00F75081"/>
    <w:rsid w:val="00F76B0A"/>
    <w:rsid w:val="00F8600B"/>
    <w:rsid w:val="00F866D8"/>
    <w:rsid w:val="00F91EE5"/>
    <w:rsid w:val="00F9609F"/>
    <w:rsid w:val="00FA7FAA"/>
    <w:rsid w:val="00FB45AC"/>
    <w:rsid w:val="00FD1042"/>
    <w:rsid w:val="00FD1669"/>
    <w:rsid w:val="00FD2460"/>
    <w:rsid w:val="00FD7B33"/>
    <w:rsid w:val="00FE22E7"/>
    <w:rsid w:val="00FE7ED7"/>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C0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142782"/>
    <w:pPr>
      <w:spacing w:after="0" w:line="240" w:lineRule="auto"/>
    </w:pPr>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D21"/>
    <w:rPr>
      <w:rFonts w:ascii="Calibri" w:eastAsia="Times New Roman"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E1"/>
    <w:pPr>
      <w:autoSpaceDE w:val="0"/>
      <w:autoSpaceDN w:val="0"/>
      <w:adjustRightInd w:val="0"/>
      <w:spacing w:after="0" w:line="240" w:lineRule="auto"/>
    </w:pPr>
    <w:rPr>
      <w:rFonts w:cs="Times New Roman"/>
      <w:color w:val="000000"/>
      <w:szCs w:val="24"/>
    </w:rPr>
  </w:style>
  <w:style w:type="paragraph" w:styleId="Header">
    <w:name w:val="header"/>
    <w:basedOn w:val="Normal"/>
    <w:link w:val="HeaderChar"/>
    <w:uiPriority w:val="99"/>
    <w:unhideWhenUsed/>
    <w:rsid w:val="00C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D21"/>
  </w:style>
  <w:style w:type="paragraph" w:styleId="Footer">
    <w:name w:val="footer"/>
    <w:basedOn w:val="Normal"/>
    <w:link w:val="FooterChar"/>
    <w:uiPriority w:val="99"/>
    <w:unhideWhenUsed/>
    <w:rsid w:val="00C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D21"/>
  </w:style>
  <w:style w:type="paragraph" w:styleId="BalloonText">
    <w:name w:val="Balloon Text"/>
    <w:basedOn w:val="Normal"/>
    <w:link w:val="BalloonTextChar"/>
    <w:uiPriority w:val="99"/>
    <w:semiHidden/>
    <w:unhideWhenUsed/>
    <w:rsid w:val="00C07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21"/>
    <w:rPr>
      <w:rFonts w:ascii="Tahoma" w:hAnsi="Tahoma" w:cs="Tahoma"/>
      <w:sz w:val="16"/>
      <w:szCs w:val="16"/>
    </w:rPr>
  </w:style>
  <w:style w:type="character" w:styleId="CommentReference">
    <w:name w:val="annotation reference"/>
    <w:basedOn w:val="DefaultParagraphFont"/>
    <w:uiPriority w:val="99"/>
    <w:semiHidden/>
    <w:unhideWhenUsed/>
    <w:rsid w:val="00B91204"/>
    <w:rPr>
      <w:sz w:val="16"/>
      <w:szCs w:val="16"/>
    </w:rPr>
  </w:style>
  <w:style w:type="paragraph" w:styleId="CommentText">
    <w:name w:val="annotation text"/>
    <w:basedOn w:val="Normal"/>
    <w:link w:val="CommentTextChar"/>
    <w:uiPriority w:val="99"/>
    <w:unhideWhenUsed/>
    <w:rsid w:val="00B91204"/>
    <w:pPr>
      <w:spacing w:line="240" w:lineRule="auto"/>
    </w:pPr>
    <w:rPr>
      <w:sz w:val="20"/>
      <w:szCs w:val="20"/>
    </w:rPr>
  </w:style>
  <w:style w:type="character" w:customStyle="1" w:styleId="CommentTextChar">
    <w:name w:val="Comment Text Char"/>
    <w:basedOn w:val="DefaultParagraphFont"/>
    <w:link w:val="CommentText"/>
    <w:uiPriority w:val="99"/>
    <w:rsid w:val="00B9120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1204"/>
    <w:rPr>
      <w:b/>
      <w:bCs/>
    </w:rPr>
  </w:style>
  <w:style w:type="character" w:customStyle="1" w:styleId="CommentSubjectChar">
    <w:name w:val="Comment Subject Char"/>
    <w:basedOn w:val="CommentTextChar"/>
    <w:link w:val="CommentSubject"/>
    <w:uiPriority w:val="99"/>
    <w:semiHidden/>
    <w:rsid w:val="00B91204"/>
    <w:rPr>
      <w:rFonts w:ascii="Calibri" w:eastAsia="Times New Roman" w:hAnsi="Calibri" w:cs="Times New Roman"/>
      <w:b/>
      <w:bCs/>
      <w:sz w:val="20"/>
      <w:szCs w:val="20"/>
    </w:rPr>
  </w:style>
  <w:style w:type="paragraph" w:styleId="ListParagraph">
    <w:name w:val="List Paragraph"/>
    <w:basedOn w:val="Normal"/>
    <w:uiPriority w:val="34"/>
    <w:qFormat/>
    <w:rsid w:val="00FA7FAA"/>
    <w:pPr>
      <w:spacing w:after="0" w:line="240" w:lineRule="auto"/>
      <w:ind w:left="720"/>
      <w:contextualSpacing/>
    </w:pPr>
    <w:rPr>
      <w:rFonts w:ascii="Times New Roman" w:hAnsi="Times New Roman"/>
      <w:sz w:val="24"/>
      <w:szCs w:val="24"/>
    </w:rPr>
  </w:style>
  <w:style w:type="character" w:styleId="Emphasis">
    <w:name w:val="Emphasis"/>
    <w:basedOn w:val="DefaultParagraphFont"/>
    <w:uiPriority w:val="20"/>
    <w:qFormat/>
    <w:rsid w:val="00D44D90"/>
    <w:rPr>
      <w:i/>
      <w:iCs/>
    </w:rPr>
  </w:style>
  <w:style w:type="paragraph" w:styleId="Revision">
    <w:name w:val="Revision"/>
    <w:hidden/>
    <w:uiPriority w:val="99"/>
    <w:semiHidden/>
    <w:rsid w:val="00142782"/>
    <w:pPr>
      <w:spacing w:after="0" w:line="240" w:lineRule="auto"/>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99CB6-26E5-4DEF-A54C-72E509AE7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1874</Words>
  <Characters>10683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Fuehrmeyer</dc:creator>
  <cp:lastModifiedBy>Gayle Floresca</cp:lastModifiedBy>
  <cp:revision>2</cp:revision>
  <cp:lastPrinted>2016-09-01T14:14:00Z</cp:lastPrinted>
  <dcterms:created xsi:type="dcterms:W3CDTF">2016-10-19T20:30:00Z</dcterms:created>
  <dcterms:modified xsi:type="dcterms:W3CDTF">2016-10-19T20:30:00Z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